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CF552">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both"/>
        <w:outlineLvl w:val="0"/>
        <w:rPr>
          <w:rFonts w:hint="eastAsia" w:ascii="方正小标宋简体" w:hAnsi="方正小标宋简体" w:eastAsia="方正小标宋简体" w:cs="方正小标宋简体"/>
          <w:b w:val="0"/>
          <w:bCs w:val="0"/>
          <w:spacing w:val="8"/>
          <w:sz w:val="44"/>
          <w:szCs w:val="44"/>
          <w:lang w:val="en-US" w:eastAsia="zh-CN"/>
        </w:rPr>
      </w:pPr>
    </w:p>
    <w:sdt>
      <w:sdtPr>
        <w:rPr>
          <w:rFonts w:hint="eastAsia" w:ascii="方正小标宋简体" w:hAnsi="方正小标宋简体" w:eastAsia="方正小标宋简体" w:cs="方正小标宋简体"/>
          <w:snapToGrid w:val="0"/>
          <w:color w:val="000000"/>
          <w:sz w:val="52"/>
          <w:szCs w:val="52"/>
          <w:lang w:val="en-US" w:eastAsia="en-US" w:bidi="ar-SA"/>
        </w:rPr>
        <w:id w:val="147476411"/>
        <w15:color w:val="DBDBDB"/>
        <w:docPartObj>
          <w:docPartGallery w:val="Table of Contents"/>
          <w:docPartUnique/>
        </w:docPartObj>
      </w:sdtPr>
      <w:sdtEndPr>
        <w:rPr>
          <w:rFonts w:hint="eastAsia" w:ascii="方正小标宋简体" w:hAnsi="方正小标宋简体" w:eastAsia="方正小标宋简体" w:cs="方正小标宋简体"/>
          <w:bCs w:val="0"/>
          <w:snapToGrid w:val="0"/>
          <w:color w:val="000000"/>
          <w:spacing w:val="8"/>
          <w:sz w:val="24"/>
          <w:szCs w:val="44"/>
          <w:lang w:val="en-US" w:eastAsia="zh-CN" w:bidi="ar-SA"/>
        </w:rPr>
      </w:sdtEndPr>
      <w:sdtContent>
        <w:p w14:paraId="64D4E828">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目录</w:t>
          </w:r>
        </w:p>
        <w:p w14:paraId="307500FD">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TOC \o "1-1" \h \u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_Toc711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val="en-US" w:eastAsia="zh-CN"/>
            </w:rPr>
            <w:t>面202608001 骨标志指标（VD、OC、CTx、TP1NP等）在典型疾病中分布特征及临床应用多中心临床研究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_Toc711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5B6D8BC0">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_Toc11730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8002</w:t>
          </w:r>
          <w:r>
            <w:rPr>
              <w:rFonts w:hint="eastAsia" w:ascii="仿宋_GB2312" w:hAnsi="仿宋_GB2312" w:eastAsia="仿宋_GB2312" w:cs="仿宋_GB2312"/>
              <w:b w:val="0"/>
              <w:bCs w:val="0"/>
              <w:spacing w:val="8"/>
              <w:sz w:val="32"/>
              <w:szCs w:val="32"/>
              <w:lang w:eastAsia="zh-CN"/>
            </w:rPr>
            <w:t xml:space="preserve"> 基于机器学习整合多中心标志物与临床数据建立肺癌分型预测模型及模型优化策略的多中心临床研究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_Toc11730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5DC9C59B">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_Toc4781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 xml:space="preserve">8003 </w:t>
          </w:r>
          <w:r>
            <w:rPr>
              <w:rFonts w:hint="eastAsia" w:ascii="仿宋_GB2312" w:hAnsi="仿宋_GB2312" w:eastAsia="仿宋_GB2312" w:cs="仿宋_GB2312"/>
              <w:b w:val="0"/>
              <w:bCs w:val="0"/>
              <w:spacing w:val="8"/>
              <w:sz w:val="32"/>
              <w:szCs w:val="32"/>
              <w:lang w:eastAsia="zh-CN"/>
            </w:rPr>
            <w:t>高密度脂蛋白（HDL）功能检测新体系（CUC）的建立及其在冠心病风险评估中的临床应用研究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_Toc4781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2A3B318F">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_Toc24093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8004</w:t>
          </w:r>
          <w:r>
            <w:rPr>
              <w:rFonts w:hint="eastAsia" w:ascii="仿宋_GB2312" w:hAnsi="仿宋_GB2312" w:eastAsia="仿宋_GB2312" w:cs="仿宋_GB2312"/>
              <w:b w:val="0"/>
              <w:bCs w:val="0"/>
              <w:sz w:val="32"/>
              <w:szCs w:val="32"/>
              <w:lang w:eastAsia="zh-CN"/>
            </w:rPr>
            <w:t xml:space="preserve"> 核酸检测与血液学指标在儿童呼吸道病毒感染诊断的临床应用研究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_Toc24093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3FEEA6A0">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_Toc18937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05 </w:t>
          </w:r>
          <w:r>
            <w:rPr>
              <w:rFonts w:hint="eastAsia" w:ascii="仿宋_GB2312" w:hAnsi="仿宋_GB2312" w:eastAsia="仿宋_GB2312" w:cs="仿宋_GB2312"/>
              <w:b w:val="0"/>
              <w:bCs w:val="0"/>
              <w:snapToGrid w:val="0"/>
              <w:spacing w:val="8"/>
              <w:sz w:val="32"/>
              <w:szCs w:val="32"/>
              <w:lang w:val="en-US" w:eastAsia="zh-CN" w:bidi="ar-SA"/>
            </w:rPr>
            <w:t>基于实验室血细胞检测指标的多发性骨髓瘤早期筛查模型构建研究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_Toc18937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50321519">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_Toc10064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 xml:space="preserve">8006 </w:t>
          </w:r>
          <w:r>
            <w:rPr>
              <w:rFonts w:hint="eastAsia" w:ascii="仿宋_GB2312" w:hAnsi="仿宋_GB2312" w:eastAsia="仿宋_GB2312" w:cs="仿宋_GB2312"/>
              <w:b w:val="0"/>
              <w:bCs w:val="0"/>
              <w:spacing w:val="8"/>
              <w:sz w:val="32"/>
              <w:szCs w:val="32"/>
              <w:lang w:eastAsia="zh-CN"/>
            </w:rPr>
            <w:t>hs-TnI在糖尿病肾病患者亚临床心肌损伤中的临床价值研究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_Toc10064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75A04DE9">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_Toc18999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8007</w:t>
          </w:r>
          <w:r>
            <w:rPr>
              <w:rFonts w:hint="eastAsia" w:ascii="仿宋_GB2312" w:hAnsi="仿宋_GB2312" w:eastAsia="仿宋_GB2312" w:cs="仿宋_GB2312"/>
              <w:b w:val="0"/>
              <w:bCs w:val="0"/>
              <w:spacing w:val="8"/>
              <w:sz w:val="32"/>
              <w:szCs w:val="32"/>
              <w:lang w:eastAsia="zh-CN"/>
            </w:rPr>
            <w:t xml:space="preserve"> 基于液相色谱串联质谱法参照的化学发光法游离睾酮检测在多囊卵巢综合征合并亚临床甲状腺功能减退患者中的应用价值研究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_Toc18999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10</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2D5DF8C2">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_Toc6060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val="en-US" w:eastAsia="zh-CN"/>
            </w:rPr>
            <w:t>面202608008 全自动尿液诱饵细胞检测对肾移植术后BK病毒激活的预警价值临床研究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_Toc6060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63D27B5C">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_Toc6144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 xml:space="preserve">8009 </w:t>
          </w:r>
          <w:r>
            <w:rPr>
              <w:rFonts w:hint="eastAsia" w:ascii="仿宋_GB2312" w:hAnsi="仿宋_GB2312" w:eastAsia="仿宋_GB2312" w:cs="仿宋_GB2312"/>
              <w:b w:val="0"/>
              <w:bCs w:val="0"/>
              <w:sz w:val="32"/>
              <w:szCs w:val="32"/>
              <w:lang w:eastAsia="zh-CN"/>
            </w:rPr>
            <w:t>肺癌新辅助免疫治疗应答异质性的空间表型分子机制研究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_Toc6144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2A00F515">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_Toc31573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8010</w:t>
          </w:r>
          <w:r>
            <w:rPr>
              <w:rFonts w:hint="eastAsia" w:ascii="仿宋_GB2312" w:hAnsi="仿宋_GB2312" w:eastAsia="仿宋_GB2312" w:cs="仿宋_GB2312"/>
              <w:b w:val="0"/>
              <w:bCs w:val="0"/>
              <w:spacing w:val="8"/>
              <w:sz w:val="32"/>
              <w:szCs w:val="32"/>
              <w:lang w:eastAsia="zh-CN"/>
            </w:rPr>
            <w:t xml:space="preserve"> 基于大语言模型的血细胞分析智能体构建与验证多中心研究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_Toc31573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16</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1A3ED938">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_Toc2322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8011</w:t>
          </w:r>
          <w:r>
            <w:rPr>
              <w:rFonts w:hint="eastAsia" w:ascii="仿宋_GB2312" w:hAnsi="仿宋_GB2312" w:eastAsia="仿宋_GB2312" w:cs="仿宋_GB2312"/>
              <w:b w:val="0"/>
              <w:bCs w:val="0"/>
              <w:spacing w:val="8"/>
              <w:sz w:val="32"/>
              <w:szCs w:val="32"/>
              <w:lang w:eastAsia="zh-CN"/>
            </w:rPr>
            <w:t xml:space="preserve"> 高通量核酸快检系统在儿童门急诊应用规范化多中心研究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_Toc2322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43DF1473">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_Toc19096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12 </w:t>
          </w:r>
          <w:r>
            <w:rPr>
              <w:rFonts w:hint="eastAsia" w:ascii="仿宋_GB2312" w:hAnsi="仿宋_GB2312" w:eastAsia="仿宋_GB2312" w:cs="仿宋_GB2312"/>
              <w:b w:val="0"/>
              <w:bCs w:val="0"/>
              <w:sz w:val="32"/>
              <w:szCs w:val="32"/>
            </w:rPr>
            <w:t>儿童溶血PDR全新解决方案及报告规范化研究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_Toc19096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6A8B7E23">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_Toc20481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13 </w:t>
          </w:r>
          <w:r>
            <w:rPr>
              <w:rFonts w:hint="eastAsia" w:ascii="仿宋_GB2312" w:hAnsi="仿宋_GB2312" w:eastAsia="仿宋_GB2312" w:cs="仿宋_GB2312"/>
              <w:b w:val="0"/>
              <w:bCs w:val="0"/>
              <w:snapToGrid w:val="0"/>
              <w:spacing w:val="8"/>
              <w:sz w:val="32"/>
              <w:szCs w:val="32"/>
              <w:lang w:val="en-US" w:eastAsia="zh-CN" w:bidi="ar-SA"/>
            </w:rPr>
            <w:t>基于病原体与免疫炎症特征的儿童呼吸道感染病情风险分层研究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_Toc20481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33876141">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_Toc842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14 </w:t>
          </w:r>
          <w:r>
            <w:rPr>
              <w:rFonts w:hint="eastAsia" w:ascii="仿宋_GB2312" w:hAnsi="仿宋_GB2312" w:eastAsia="仿宋_GB2312" w:cs="仿宋_GB2312"/>
              <w:b w:val="0"/>
              <w:bCs w:val="0"/>
              <w:snapToGrid w:val="0"/>
              <w:spacing w:val="8"/>
              <w:sz w:val="32"/>
              <w:szCs w:val="32"/>
              <w:lang w:val="en-US" w:eastAsia="zh-CN" w:bidi="ar-SA"/>
            </w:rPr>
            <w:t>基于多维标志物的静脉血栓形成风险评估与早期诊断模型构建及应用研究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_Toc842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2B723D74">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_Toc3630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15</w:t>
          </w:r>
          <w:r>
            <w:rPr>
              <w:rFonts w:hint="eastAsia" w:ascii="仿宋_GB2312" w:hAnsi="仿宋_GB2312" w:eastAsia="仿宋_GB2312" w:cs="仿宋_GB2312"/>
              <w:b w:val="0"/>
              <w:bCs w:val="0"/>
              <w:sz w:val="32"/>
              <w:szCs w:val="32"/>
              <w:lang w:eastAsia="zh-CN"/>
            </w:rPr>
            <w:t xml:space="preserve"> 基于大语言模型的报告审核智能体构建及临床应用研究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_Toc3630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39A91DC7">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_Toc8225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16 </w:t>
          </w:r>
          <w:r>
            <w:rPr>
              <w:rFonts w:hint="eastAsia" w:ascii="仿宋_GB2312" w:hAnsi="仿宋_GB2312" w:eastAsia="仿宋_GB2312" w:cs="仿宋_GB2312"/>
              <w:b w:val="0"/>
              <w:bCs w:val="0"/>
              <w:spacing w:val="8"/>
              <w:sz w:val="32"/>
              <w:szCs w:val="32"/>
              <w:lang w:eastAsia="zh-CN"/>
            </w:rPr>
            <w:t>高敏HBV DNA与HBV RNA横向对比及HBcrAg补充价值研究——聚焦cccDNA清除水平的双重检测评估策略</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_Toc8225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14E0EBA8">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_Toc6281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17</w:t>
          </w:r>
          <w:r>
            <w:rPr>
              <w:rFonts w:hint="eastAsia" w:ascii="仿宋_GB2312" w:hAnsi="仿宋_GB2312" w:eastAsia="仿宋_GB2312" w:cs="仿宋_GB2312"/>
              <w:b w:val="0"/>
              <w:bCs w:val="0"/>
              <w:spacing w:val="8"/>
              <w:sz w:val="32"/>
              <w:szCs w:val="32"/>
              <w:lang w:eastAsia="zh-CN"/>
            </w:rPr>
            <w:t xml:space="preserve"> 0—6岁儿童常规</w:t>
          </w:r>
          <w:r>
            <w:rPr>
              <w:rFonts w:hint="eastAsia" w:ascii="仿宋_GB2312" w:hAnsi="仿宋_GB2312" w:eastAsia="仿宋_GB2312" w:cs="仿宋_GB2312"/>
              <w:b w:val="0"/>
              <w:bCs w:val="0"/>
              <w:spacing w:val="8"/>
              <w:sz w:val="32"/>
              <w:szCs w:val="32"/>
              <w:lang w:val="en-US" w:eastAsia="zh-CN"/>
            </w:rPr>
            <w:t>七</w:t>
          </w:r>
          <w:r>
            <w:rPr>
              <w:rFonts w:hint="eastAsia" w:ascii="仿宋_GB2312" w:hAnsi="仿宋_GB2312" w:eastAsia="仿宋_GB2312" w:cs="仿宋_GB2312"/>
              <w:b w:val="0"/>
              <w:bCs w:val="0"/>
              <w:spacing w:val="8"/>
              <w:sz w:val="32"/>
              <w:szCs w:val="32"/>
              <w:lang w:eastAsia="zh-CN"/>
            </w:rPr>
            <w:t>项凝血指标参考范围的建立多中心研究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_Toc6281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7400D070">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_Toc10045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eastAsia="zh-CN"/>
            </w:rPr>
            <w:t>面20260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18 </w:t>
          </w:r>
          <w:r>
            <w:rPr>
              <w:rFonts w:hint="eastAsia" w:ascii="仿宋_GB2312" w:hAnsi="仿宋_GB2312" w:eastAsia="仿宋_GB2312" w:cs="仿宋_GB2312"/>
              <w:b w:val="0"/>
              <w:bCs w:val="0"/>
              <w:sz w:val="32"/>
              <w:szCs w:val="32"/>
              <w:lang w:val="zh-CN"/>
            </w:rPr>
            <w:t>新型肌钙蛋白复合物Long-T ITC在急性胸痛与心力衰竭临床诊断中的应用价值研究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_Toc10045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26</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4BF7C06C">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_Toc19272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val="en-US" w:eastAsia="zh-CN"/>
            </w:rPr>
            <w:t>面202608019 基于血细胞分析仪的脂血干扰校正及TTP智能一体化筛查技术临床研究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_Toc19272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7950F762">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fldChar w:fldCharType="begin"/>
          </w:r>
          <w:r>
            <w:rPr>
              <w:rFonts w:hint="eastAsia" w:ascii="仿宋_GB2312" w:hAnsi="仿宋_GB2312" w:eastAsia="仿宋_GB2312" w:cs="仿宋_GB2312"/>
              <w:b w:val="0"/>
              <w:bCs w:val="0"/>
              <w:spacing w:val="8"/>
              <w:sz w:val="32"/>
              <w:szCs w:val="32"/>
              <w:lang w:val="en-US" w:eastAsia="zh-CN"/>
            </w:rPr>
            <w:instrText xml:space="preserve"> HYPERLINK \l _Toc1759 </w:instrText>
          </w:r>
          <w:r>
            <w:rPr>
              <w:rFonts w:hint="eastAsia" w:ascii="仿宋_GB2312" w:hAnsi="仿宋_GB2312" w:eastAsia="仿宋_GB2312" w:cs="仿宋_GB2312"/>
              <w:b w:val="0"/>
              <w:bCs w:val="0"/>
              <w:spacing w:val="8"/>
              <w:sz w:val="32"/>
              <w:szCs w:val="32"/>
              <w:lang w:val="en-US" w:eastAsia="zh-CN"/>
            </w:rPr>
            <w:fldChar w:fldCharType="separate"/>
          </w:r>
          <w:r>
            <w:rPr>
              <w:rFonts w:hint="eastAsia" w:ascii="仿宋_GB2312" w:hAnsi="仿宋_GB2312" w:eastAsia="仿宋_GB2312" w:cs="仿宋_GB2312"/>
              <w:b w:val="0"/>
              <w:bCs w:val="0"/>
              <w:spacing w:val="8"/>
              <w:sz w:val="32"/>
              <w:szCs w:val="32"/>
              <w:lang w:val="en-US" w:eastAsia="zh-CN"/>
            </w:rPr>
            <w:t>重</w:t>
          </w:r>
          <w:r>
            <w:rPr>
              <w:rFonts w:hint="eastAsia" w:ascii="仿宋_GB2312" w:hAnsi="仿宋_GB2312" w:eastAsia="仿宋_GB2312" w:cs="仿宋_GB2312"/>
              <w:b w:val="0"/>
              <w:bCs w:val="0"/>
              <w:spacing w:val="8"/>
              <w:sz w:val="32"/>
              <w:szCs w:val="32"/>
              <w:lang w:eastAsia="zh-CN"/>
            </w:rPr>
            <w:t>20260</w:t>
          </w:r>
          <w:r>
            <w:rPr>
              <w:rFonts w:hint="eastAsia" w:ascii="仿宋_GB2312" w:hAnsi="仿宋_GB2312" w:eastAsia="仿宋_GB2312" w:cs="仿宋_GB2312"/>
              <w:b w:val="0"/>
              <w:bCs w:val="0"/>
              <w:spacing w:val="8"/>
              <w:sz w:val="32"/>
              <w:szCs w:val="32"/>
              <w:lang w:val="en-US" w:eastAsia="zh-CN"/>
            </w:rPr>
            <w:t>8</w:t>
          </w:r>
          <w:r>
            <w:rPr>
              <w:rFonts w:hint="eastAsia" w:ascii="仿宋_GB2312" w:hAnsi="仿宋_GB2312" w:eastAsia="仿宋_GB2312" w:cs="仿宋_GB2312"/>
              <w:b w:val="0"/>
              <w:bCs w:val="0"/>
              <w:spacing w:val="8"/>
              <w:sz w:val="32"/>
              <w:szCs w:val="32"/>
              <w:lang w:eastAsia="zh-CN"/>
            </w:rPr>
            <w:t>0</w:t>
          </w:r>
          <w:r>
            <w:rPr>
              <w:rFonts w:hint="eastAsia" w:ascii="仿宋_GB2312" w:hAnsi="仿宋_GB2312" w:eastAsia="仿宋_GB2312" w:cs="仿宋_GB2312"/>
              <w:b w:val="0"/>
              <w:bCs w:val="0"/>
              <w:spacing w:val="8"/>
              <w:sz w:val="32"/>
              <w:szCs w:val="32"/>
              <w:lang w:val="en-US" w:eastAsia="zh-CN"/>
            </w:rPr>
            <w:t xml:space="preserve">20 </w:t>
          </w:r>
          <w:r>
            <w:rPr>
              <w:rFonts w:hint="eastAsia" w:ascii="仿宋_GB2312" w:hAnsi="仿宋_GB2312" w:eastAsia="仿宋_GB2312" w:cs="仿宋_GB2312"/>
              <w:b w:val="0"/>
              <w:bCs w:val="0"/>
              <w:sz w:val="32"/>
              <w:szCs w:val="32"/>
              <w:lang w:eastAsia="zh-CN"/>
            </w:rPr>
            <w:t>全自动化学发光免疫分析仪推广应用多中心临床研究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_Toc1759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pacing w:val="8"/>
              <w:sz w:val="32"/>
              <w:szCs w:val="32"/>
              <w:lang w:val="en-US" w:eastAsia="zh-CN"/>
            </w:rPr>
            <w:fldChar w:fldCharType="end"/>
          </w:r>
        </w:p>
        <w:p w14:paraId="638FCDA8">
          <w:pPr>
            <w:pStyle w:val="8"/>
            <w:keepNext w:val="0"/>
            <w:keepLines w:val="0"/>
            <w:pageBreakBefore w:val="0"/>
            <w:widowControl/>
            <w:suppressLineNumbers w:val="0"/>
            <w:shd w:val="clear" w:fill="FFFFFF"/>
            <w:kinsoku w:val="0"/>
            <w:wordWrap/>
            <w:overflowPunct/>
            <w:topLinePunct w:val="0"/>
            <w:autoSpaceDE w:val="0"/>
            <w:autoSpaceDN w:val="0"/>
            <w:bidi w:val="0"/>
            <w:adjustRightInd w:val="0"/>
            <w:snapToGrid w:val="0"/>
            <w:spacing w:beforeAutospacing="0" w:afterAutospacing="0" w:line="560" w:lineRule="exact"/>
            <w:ind w:left="0" w:right="0" w:firstLine="0"/>
            <w:jc w:val="center"/>
            <w:textAlignment w:val="baseline"/>
            <w:outlineLvl w:val="0"/>
            <w:rPr>
              <w:rFonts w:hint="eastAsia" w:ascii="方正小标宋简体" w:hAnsi="方正小标宋简体" w:eastAsia="方正小标宋简体" w:cs="方正小标宋简体"/>
              <w:bCs w:val="0"/>
              <w:snapToGrid w:val="0"/>
              <w:color w:val="000000"/>
              <w:spacing w:val="8"/>
              <w:sz w:val="24"/>
              <w:szCs w:val="44"/>
              <w:lang w:val="en-US" w:eastAsia="zh-CN" w:bidi="ar-SA"/>
            </w:rPr>
          </w:pPr>
          <w:r>
            <w:rPr>
              <w:rFonts w:hint="eastAsia" w:ascii="仿宋_GB2312" w:hAnsi="仿宋_GB2312" w:eastAsia="仿宋_GB2312" w:cs="仿宋_GB2312"/>
              <w:b w:val="0"/>
              <w:bCs w:val="0"/>
              <w:spacing w:val="8"/>
              <w:sz w:val="32"/>
              <w:szCs w:val="32"/>
              <w:lang w:val="en-US" w:eastAsia="zh-CN"/>
            </w:rPr>
            <w:fldChar w:fldCharType="end"/>
          </w:r>
        </w:p>
      </w:sdtContent>
    </w:sdt>
    <w:p w14:paraId="363676AC">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Cs w:val="0"/>
          <w:snapToGrid w:val="0"/>
          <w:color w:val="000000"/>
          <w:spacing w:val="8"/>
          <w:sz w:val="24"/>
          <w:szCs w:val="44"/>
          <w:lang w:val="en-US" w:eastAsia="zh-CN" w:bidi="ar-SA"/>
        </w:rPr>
      </w:pPr>
    </w:p>
    <w:p w14:paraId="41FEA0C9">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170BABF5">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2D2760E0">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1573B314">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bookmarkStart w:id="0" w:name="_Toc711"/>
    </w:p>
    <w:p w14:paraId="4BACD61D">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777147DC">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1CDB448C">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7EC80C93">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03C64679">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68217FFF">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2D698600">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46498F26">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7C70B3F2">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p>
    <w:p w14:paraId="6488990E">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b w:val="0"/>
          <w:bCs w:val="0"/>
          <w:spacing w:val="8"/>
          <w:sz w:val="44"/>
          <w:szCs w:val="44"/>
          <w:lang w:val="en-US" w:eastAsia="zh-CN"/>
        </w:rPr>
      </w:pPr>
      <w:r>
        <w:rPr>
          <w:rFonts w:hint="eastAsia" w:ascii="方正小标宋简体" w:hAnsi="方正小标宋简体" w:eastAsia="方正小标宋简体" w:cs="方正小标宋简体"/>
          <w:b w:val="0"/>
          <w:bCs w:val="0"/>
          <w:spacing w:val="8"/>
          <w:sz w:val="44"/>
          <w:szCs w:val="44"/>
          <w:lang w:val="en-US" w:eastAsia="zh-CN"/>
        </w:rPr>
        <w:t>面202608001 骨标志指标（VD、OC、CTx、TP1NP等）在典型疾病中分布特征及临床应用多中心临床研究</w:t>
      </w:r>
      <w:bookmarkEnd w:id="0"/>
    </w:p>
    <w:p w14:paraId="5B52BA12">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rPr>
          <w:rFonts w:hint="eastAsia" w:ascii="方正小标宋简体" w:hAnsi="方正小标宋简体" w:eastAsia="方正小标宋简体" w:cs="方正小标宋简体"/>
          <w:b w:val="0"/>
          <w:bCs w:val="0"/>
          <w:spacing w:val="8"/>
          <w:sz w:val="44"/>
          <w:szCs w:val="44"/>
          <w:lang w:val="en-US" w:eastAsia="zh-CN"/>
        </w:rPr>
      </w:pPr>
    </w:p>
    <w:p w14:paraId="2B98D15F">
      <w:pPr>
        <w:keepNext w:val="0"/>
        <w:keepLines w:val="0"/>
        <w:pageBreakBefore w:val="0"/>
        <w:wordWrap/>
        <w:overflowPunct/>
        <w:topLinePunct w:val="0"/>
        <w:bidi w:val="0"/>
        <w:spacing w:line="520" w:lineRule="exact"/>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bCs/>
          <w:spacing w:val="8"/>
          <w:sz w:val="32"/>
          <w:szCs w:val="32"/>
          <w:highlight w:val="none"/>
          <w:lang w:val="en-US" w:eastAsia="zh-CN"/>
        </w:rPr>
        <w:t>一、领域：</w:t>
      </w:r>
      <w:r>
        <w:rPr>
          <w:rFonts w:hint="eastAsia" w:ascii="仿宋_GB2312" w:hAnsi="仿宋_GB2312" w:eastAsia="仿宋_GB2312" w:cs="仿宋_GB2312"/>
          <w:b w:val="0"/>
          <w:bCs w:val="0"/>
          <w:spacing w:val="8"/>
          <w:sz w:val="32"/>
          <w:szCs w:val="32"/>
          <w:highlight w:val="none"/>
          <w:lang w:val="en-US" w:eastAsia="zh-CN"/>
        </w:rPr>
        <w:t>骨代谢与慢性疾病</w:t>
      </w:r>
    </w:p>
    <w:p w14:paraId="13C937F3">
      <w:pPr>
        <w:keepNext w:val="0"/>
        <w:keepLines w:val="0"/>
        <w:pageBreakBefore w:val="0"/>
        <w:wordWrap/>
        <w:overflowPunct/>
        <w:topLinePunct w:val="0"/>
        <w:bidi w:val="0"/>
        <w:spacing w:line="520" w:lineRule="exact"/>
        <w:jc w:val="both"/>
        <w:rPr>
          <w:rFonts w:hint="eastAsia" w:ascii="仿宋_GB2312" w:hAnsi="仿宋_GB2312" w:eastAsia="仿宋_GB2312" w:cs="仿宋_GB2312"/>
          <w:b/>
          <w:bCs/>
          <w:spacing w:val="8"/>
          <w:sz w:val="32"/>
          <w:szCs w:val="32"/>
          <w:highlight w:val="none"/>
          <w:lang w:val="en-US" w:eastAsia="zh-CN"/>
        </w:rPr>
      </w:pPr>
      <w:r>
        <w:rPr>
          <w:rFonts w:hint="eastAsia" w:ascii="仿宋_GB2312" w:hAnsi="仿宋_GB2312" w:eastAsia="仿宋_GB2312" w:cs="仿宋_GB2312"/>
          <w:b/>
          <w:bCs/>
          <w:spacing w:val="8"/>
          <w:sz w:val="32"/>
          <w:szCs w:val="32"/>
          <w:highlight w:val="none"/>
          <w:lang w:val="en-US" w:eastAsia="zh-CN"/>
        </w:rPr>
        <w:t>二、主要研究内容</w:t>
      </w:r>
    </w:p>
    <w:p w14:paraId="151395A9">
      <w:pPr>
        <w:keepNext w:val="0"/>
        <w:keepLines w:val="0"/>
        <w:pageBreakBefore w:val="0"/>
        <w:wordWrap/>
        <w:overflowPunct/>
        <w:topLinePunct w:val="0"/>
        <w:bidi w:val="0"/>
        <w:spacing w:line="520" w:lineRule="exact"/>
        <w:ind w:firstLine="672" w:firstLineChars="200"/>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val="0"/>
          <w:bCs w:val="0"/>
          <w:spacing w:val="8"/>
          <w:sz w:val="32"/>
          <w:szCs w:val="32"/>
          <w:highlight w:val="none"/>
          <w:lang w:val="en-US" w:eastAsia="zh-CN"/>
        </w:rPr>
        <w:t>（一）本研究旨在系统阐明骨代谢指标（VD、OC、TP1NP、β-CTx等）在不同疾病的分布特征及相关性。按照纳入标准筛选受试者并分组，分析骨代谢指标及各疾病特异性指标，明确不同疾病中骨代谢指标的分布规律；</w:t>
      </w:r>
    </w:p>
    <w:p w14:paraId="5F8EEA0C">
      <w:pPr>
        <w:keepNext w:val="0"/>
        <w:keepLines w:val="0"/>
        <w:pageBreakBefore w:val="0"/>
        <w:wordWrap/>
        <w:overflowPunct/>
        <w:topLinePunct w:val="0"/>
        <w:bidi w:val="0"/>
        <w:spacing w:line="520" w:lineRule="exact"/>
        <w:ind w:firstLine="672" w:firstLineChars="200"/>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val="0"/>
          <w:bCs w:val="0"/>
          <w:spacing w:val="8"/>
          <w:sz w:val="32"/>
          <w:szCs w:val="32"/>
          <w:highlight w:val="none"/>
          <w:lang w:val="en-US" w:eastAsia="zh-CN"/>
        </w:rPr>
        <w:t>（二）分析骨代谢指标与各疾病诊断及进展的相关性，探索其作为早期诊断标志物或疾病监测指标的潜在价值。研究成果将为上述慢性病患者的骨代谢异常早期识别、风险分层及个体化干预提供重要循证依据。</w:t>
      </w:r>
    </w:p>
    <w:p w14:paraId="4605C747">
      <w:pPr>
        <w:keepNext w:val="0"/>
        <w:keepLines w:val="0"/>
        <w:pageBreakBefore w:val="0"/>
        <w:wordWrap/>
        <w:overflowPunct/>
        <w:topLinePunct w:val="0"/>
        <w:bidi w:val="0"/>
        <w:spacing w:line="520" w:lineRule="exact"/>
        <w:jc w:val="both"/>
        <w:rPr>
          <w:rFonts w:hint="eastAsia" w:ascii="仿宋_GB2312" w:hAnsi="仿宋_GB2312" w:eastAsia="仿宋_GB2312" w:cs="仿宋_GB2312"/>
          <w:b/>
          <w:bCs/>
          <w:spacing w:val="8"/>
          <w:sz w:val="32"/>
          <w:szCs w:val="32"/>
          <w:highlight w:val="none"/>
          <w:lang w:val="en-US" w:eastAsia="zh-CN"/>
        </w:rPr>
      </w:pPr>
      <w:r>
        <w:rPr>
          <w:rFonts w:hint="eastAsia" w:ascii="仿宋_GB2312" w:hAnsi="仿宋_GB2312" w:eastAsia="仿宋_GB2312" w:cs="仿宋_GB2312"/>
          <w:b/>
          <w:bCs/>
          <w:spacing w:val="8"/>
          <w:sz w:val="32"/>
          <w:szCs w:val="32"/>
          <w:highlight w:val="none"/>
          <w:lang w:val="en-US" w:eastAsia="zh-CN"/>
        </w:rPr>
        <w:t>三、项目考核指标（项目执行期内）</w:t>
      </w:r>
    </w:p>
    <w:p w14:paraId="69D4C163">
      <w:pPr>
        <w:keepNext w:val="0"/>
        <w:keepLines w:val="0"/>
        <w:pageBreakBefore w:val="0"/>
        <w:wordWrap/>
        <w:overflowPunct/>
        <w:topLinePunct w:val="0"/>
        <w:bidi w:val="0"/>
        <w:spacing w:line="520" w:lineRule="exact"/>
        <w:ind w:firstLine="672" w:firstLineChars="200"/>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val="0"/>
          <w:bCs w:val="0"/>
          <w:spacing w:val="8"/>
          <w:sz w:val="32"/>
          <w:szCs w:val="32"/>
          <w:highlight w:val="none"/>
          <w:lang w:val="en-US" w:eastAsia="zh-CN"/>
        </w:rPr>
        <w:t>（一）学术指标：发表学术论文≥1篇。</w:t>
      </w:r>
    </w:p>
    <w:p w14:paraId="339E7AE7">
      <w:pPr>
        <w:keepNext w:val="0"/>
        <w:keepLines w:val="0"/>
        <w:pageBreakBefore w:val="0"/>
        <w:wordWrap/>
        <w:overflowPunct/>
        <w:topLinePunct w:val="0"/>
        <w:bidi w:val="0"/>
        <w:spacing w:line="520" w:lineRule="exact"/>
        <w:ind w:firstLine="672" w:firstLineChars="200"/>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val="0"/>
          <w:bCs w:val="0"/>
          <w:spacing w:val="8"/>
          <w:sz w:val="32"/>
          <w:szCs w:val="32"/>
          <w:highlight w:val="none"/>
          <w:lang w:val="en-US" w:eastAsia="zh-CN"/>
        </w:rPr>
        <w:t>（二）技术指标：建立标准化的骨代谢指标检测及数据管理流程，构建覆盖不同典型疾病的骨代谢专病数据库，系统阐明骨代谢指标在各疾病中的分布规律、与疾病诊断/进展的相关性及其临床应用价值，对建立的骨代谢指标与疾病关联模型进行效能评估。并形成≥1份结题分析报告。</w:t>
      </w:r>
    </w:p>
    <w:p w14:paraId="0BF1240C">
      <w:pPr>
        <w:keepNext w:val="0"/>
        <w:keepLines w:val="0"/>
        <w:pageBreakBefore w:val="0"/>
        <w:wordWrap/>
        <w:overflowPunct/>
        <w:topLinePunct w:val="0"/>
        <w:bidi w:val="0"/>
        <w:spacing w:line="520" w:lineRule="exact"/>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bCs/>
          <w:spacing w:val="8"/>
          <w:sz w:val="32"/>
          <w:szCs w:val="32"/>
          <w:highlight w:val="none"/>
          <w:lang w:val="en-US" w:eastAsia="zh-CN"/>
        </w:rPr>
        <w:t>四、项目实施年限</w:t>
      </w:r>
      <w:r>
        <w:rPr>
          <w:rFonts w:hint="eastAsia" w:ascii="仿宋_GB2312" w:hAnsi="仿宋_GB2312" w:eastAsia="仿宋_GB2312" w:cs="仿宋_GB2312"/>
          <w:b w:val="0"/>
          <w:bCs w:val="0"/>
          <w:spacing w:val="8"/>
          <w:sz w:val="32"/>
          <w:szCs w:val="32"/>
          <w:highlight w:val="none"/>
          <w:lang w:val="en-US" w:eastAsia="zh-CN"/>
        </w:rPr>
        <w:t>：不超过2年</w:t>
      </w:r>
    </w:p>
    <w:p w14:paraId="132BDC5C">
      <w:pPr>
        <w:keepNext w:val="0"/>
        <w:keepLines w:val="0"/>
        <w:pageBreakBefore w:val="0"/>
        <w:wordWrap/>
        <w:overflowPunct/>
        <w:topLinePunct w:val="0"/>
        <w:bidi w:val="0"/>
        <w:spacing w:line="520" w:lineRule="exact"/>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bCs/>
          <w:spacing w:val="8"/>
          <w:sz w:val="32"/>
          <w:szCs w:val="32"/>
          <w:highlight w:val="none"/>
          <w:lang w:val="en-US" w:eastAsia="zh-CN"/>
        </w:rPr>
        <w:t>五、资助金额：</w:t>
      </w:r>
      <w:r>
        <w:rPr>
          <w:rFonts w:hint="eastAsia" w:ascii="仿宋_GB2312" w:hAnsi="仿宋_GB2312" w:eastAsia="仿宋_GB2312" w:cs="仿宋_GB2312"/>
          <w:b w:val="0"/>
          <w:bCs w:val="0"/>
          <w:spacing w:val="8"/>
          <w:sz w:val="32"/>
          <w:szCs w:val="32"/>
          <w:highlight w:val="none"/>
          <w:lang w:val="en-US" w:eastAsia="zh-CN"/>
        </w:rPr>
        <w:t>多中心临床研究，不超过6家单位，每家单位不超过2万元</w:t>
      </w:r>
    </w:p>
    <w:p w14:paraId="7B133AA5">
      <w:pPr>
        <w:keepNext w:val="0"/>
        <w:keepLines w:val="0"/>
        <w:pageBreakBefore w:val="0"/>
        <w:wordWrap/>
        <w:overflowPunct/>
        <w:topLinePunct w:val="0"/>
        <w:bidi w:val="0"/>
        <w:spacing w:line="520" w:lineRule="exact"/>
        <w:jc w:val="both"/>
        <w:rPr>
          <w:rFonts w:hint="eastAsia" w:ascii="仿宋_GB2312" w:hAnsi="仿宋_GB2312" w:eastAsia="仿宋_GB2312" w:cs="仿宋_GB2312"/>
          <w:b w:val="0"/>
          <w:bCs w:val="0"/>
          <w:spacing w:val="8"/>
          <w:sz w:val="32"/>
          <w:szCs w:val="32"/>
          <w:highlight w:val="none"/>
          <w:lang w:val="en-US" w:eastAsia="zh-CN"/>
        </w:rPr>
      </w:pPr>
    </w:p>
    <w:p w14:paraId="0573248F">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b w:val="0"/>
          <w:bCs w:val="0"/>
          <w:spacing w:val="8"/>
          <w:sz w:val="44"/>
          <w:szCs w:val="44"/>
          <w:lang w:eastAsia="zh-CN"/>
        </w:rPr>
      </w:pPr>
      <w:bookmarkStart w:id="1" w:name="_Toc11730"/>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8002</w:t>
      </w:r>
      <w:r>
        <w:rPr>
          <w:rFonts w:hint="eastAsia" w:ascii="方正小标宋简体" w:hAnsi="方正小标宋简体" w:eastAsia="方正小标宋简体" w:cs="方正小标宋简体"/>
          <w:b w:val="0"/>
          <w:bCs w:val="0"/>
          <w:spacing w:val="8"/>
          <w:sz w:val="44"/>
          <w:szCs w:val="44"/>
          <w:lang w:eastAsia="zh-CN"/>
        </w:rPr>
        <w:t xml:space="preserve"> 基于机器学习整合多中心标志物与临床数据建立肺癌分型预测模型及模型优化策略的多中心临床研究</w:t>
      </w:r>
      <w:bookmarkEnd w:id="1"/>
    </w:p>
    <w:p w14:paraId="41CEF012">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spacing w:val="8"/>
          <w:sz w:val="32"/>
          <w:szCs w:val="32"/>
          <w:lang w:eastAsia="zh-CN"/>
        </w:rPr>
      </w:pPr>
    </w:p>
    <w:p w14:paraId="5B01625A">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b/>
          <w:spacing w:val="8"/>
          <w:sz w:val="32"/>
          <w:szCs w:val="32"/>
          <w:lang w:eastAsia="zh-CN"/>
        </w:rPr>
        <w:t>一、领域：</w:t>
      </w:r>
      <w:r>
        <w:rPr>
          <w:rFonts w:hint="eastAsia" w:ascii="仿宋_GB2312" w:hAnsi="仿宋_GB2312" w:eastAsia="仿宋_GB2312" w:cs="仿宋_GB2312"/>
          <w:spacing w:val="8"/>
          <w:sz w:val="32"/>
          <w:szCs w:val="32"/>
          <w:lang w:eastAsia="zh-CN"/>
        </w:rPr>
        <w:t>预测模型</w:t>
      </w:r>
    </w:p>
    <w:p w14:paraId="1E82EE3E">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b/>
          <w:spacing w:val="8"/>
          <w:sz w:val="32"/>
          <w:szCs w:val="32"/>
          <w:lang w:eastAsia="zh-CN"/>
        </w:rPr>
      </w:pPr>
      <w:r>
        <w:rPr>
          <w:rFonts w:hint="eastAsia" w:ascii="仿宋_GB2312" w:hAnsi="仿宋_GB2312" w:eastAsia="仿宋_GB2312" w:cs="仿宋_GB2312"/>
          <w:b/>
          <w:spacing w:val="8"/>
          <w:sz w:val="32"/>
          <w:szCs w:val="32"/>
          <w:lang w:eastAsia="zh-CN"/>
        </w:rPr>
        <w:t>二、主要研究内容</w:t>
      </w:r>
    </w:p>
    <w:p w14:paraId="24FF3B96">
      <w:pPr>
        <w:pStyle w:val="4"/>
        <w:keepNext w:val="0"/>
        <w:keepLines w:val="0"/>
        <w:pageBreakBefore w:val="0"/>
        <w:wordWrap/>
        <w:overflowPunct/>
        <w:topLinePunct w:val="0"/>
        <w:bidi w:val="0"/>
        <w:spacing w:line="520" w:lineRule="exact"/>
        <w:ind w:right="19"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（一）构建基于多维数据的肺癌分型预测模型：综合CEA、CYFRA21-1、SCCA、NSE、ProGRP五项常用血清肿瘤标志物、临床特征与病理信息，构建多模型对比的肺癌分型预测工具，明确最优模型策略；</w:t>
      </w:r>
    </w:p>
    <w:p w14:paraId="592701F1">
      <w:pPr>
        <w:pStyle w:val="4"/>
        <w:keepNext w:val="0"/>
        <w:keepLines w:val="0"/>
        <w:pageBreakBefore w:val="0"/>
        <w:wordWrap/>
        <w:overflowPunct/>
        <w:topLinePunct w:val="0"/>
        <w:bidi w:val="0"/>
        <w:spacing w:line="520" w:lineRule="exact"/>
        <w:ind w:right="19" w:firstLine="672"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pacing w:val="8"/>
          <w:sz w:val="32"/>
          <w:szCs w:val="32"/>
          <w:lang w:eastAsia="zh-CN"/>
        </w:rPr>
        <w:t>（二）比较Logistic回归、XGBoost、随机森林、支持向量机等多种机器学习算法的分型预测效果，通过交叉验证与外部数据验证模型稳定性与泛化能力，基于统计检验方法评估不同亚型中各标志物的表达差异与相互关系，筛选具有潜在诊断价值的关键变量。</w:t>
      </w:r>
      <w:r>
        <w:rPr>
          <w:rFonts w:hint="eastAsia" w:ascii="仿宋_GB2312" w:hAnsi="仿宋_GB2312" w:eastAsia="仿宋_GB2312" w:cs="仿宋_GB2312"/>
          <w:sz w:val="32"/>
          <w:szCs w:val="32"/>
          <w:lang w:eastAsia="zh-CN"/>
        </w:rPr>
        <w:t xml:space="preserve"> </w:t>
      </w:r>
    </w:p>
    <w:p w14:paraId="58FE240E">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b/>
          <w:spacing w:val="8"/>
          <w:sz w:val="32"/>
          <w:szCs w:val="32"/>
          <w:lang w:eastAsia="zh-CN"/>
        </w:rPr>
      </w:pPr>
      <w:r>
        <w:rPr>
          <w:rFonts w:hint="eastAsia" w:ascii="仿宋_GB2312" w:hAnsi="仿宋_GB2312" w:eastAsia="仿宋_GB2312" w:cs="仿宋_GB2312"/>
          <w:b/>
          <w:spacing w:val="8"/>
          <w:sz w:val="32"/>
          <w:szCs w:val="32"/>
          <w:lang w:eastAsia="zh-CN"/>
        </w:rPr>
        <w:t>三、项目考核指标（项目执行期内）</w:t>
      </w:r>
    </w:p>
    <w:p w14:paraId="5787F874">
      <w:pPr>
        <w:pStyle w:val="4"/>
        <w:keepNext w:val="0"/>
        <w:keepLines w:val="0"/>
        <w:pageBreakBefore w:val="0"/>
        <w:wordWrap/>
        <w:overflowPunct/>
        <w:topLinePunct w:val="0"/>
        <w:bidi w:val="0"/>
        <w:spacing w:line="520" w:lineRule="exact"/>
        <w:ind w:right="19" w:firstLine="504" w:firstLineChars="15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（一）学术指标：共同发表</w:t>
      </w:r>
      <w:r>
        <w:rPr>
          <w:rFonts w:hint="eastAsia" w:ascii="仿宋_GB2312" w:hAnsi="仿宋_GB2312" w:eastAsia="仿宋_GB2312" w:cs="仿宋_GB2312"/>
          <w:spacing w:val="8"/>
          <w:sz w:val="32"/>
          <w:szCs w:val="32"/>
          <w:lang w:val="en-US" w:eastAsia="zh-CN"/>
        </w:rPr>
        <w:t>学术</w:t>
      </w:r>
      <w:r>
        <w:rPr>
          <w:rFonts w:hint="eastAsia" w:ascii="仿宋_GB2312" w:hAnsi="仿宋_GB2312" w:eastAsia="仿宋_GB2312" w:cs="仿宋_GB2312"/>
          <w:spacing w:val="8"/>
          <w:sz w:val="32"/>
          <w:szCs w:val="32"/>
          <w:lang w:eastAsia="zh-CN"/>
        </w:rPr>
        <w:t>论文≥1篇。</w:t>
      </w:r>
    </w:p>
    <w:p w14:paraId="4AD1C73A">
      <w:pPr>
        <w:pStyle w:val="4"/>
        <w:keepNext w:val="0"/>
        <w:keepLines w:val="0"/>
        <w:pageBreakBefore w:val="0"/>
        <w:wordWrap/>
        <w:overflowPunct/>
        <w:topLinePunct w:val="0"/>
        <w:bidi w:val="0"/>
        <w:spacing w:line="520" w:lineRule="exact"/>
        <w:ind w:right="19" w:firstLine="504" w:firstLineChars="15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（二）技术指标：通过多中心数据整合，采用血清标志物与临床变量结合的机器学习模型，构建肺癌病理分型的精准预测工具，形成≥1份项目评估报告。</w:t>
      </w:r>
    </w:p>
    <w:p w14:paraId="156EFD9B">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b/>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3CBC9BD6">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sz w:val="32"/>
          <w:szCs w:val="32"/>
          <w:lang w:eastAsia="zh-CN"/>
        </w:rPr>
      </w:pPr>
      <w:r>
        <w:rPr>
          <w:rFonts w:hint="eastAsia" w:ascii="仿宋_GB2312" w:hAnsi="仿宋_GB2312" w:eastAsia="仿宋_GB2312" w:cs="仿宋_GB2312"/>
          <w:b/>
          <w:spacing w:val="8"/>
          <w:sz w:val="32"/>
          <w:szCs w:val="32"/>
          <w:lang w:eastAsia="zh-CN"/>
        </w:rPr>
        <w:t>五、资助金额：</w:t>
      </w:r>
      <w:r>
        <w:rPr>
          <w:rFonts w:hint="eastAsia" w:ascii="仿宋_GB2312" w:hAnsi="仿宋_GB2312" w:eastAsia="仿宋_GB2312" w:cs="仿宋_GB2312"/>
          <w:spacing w:val="8"/>
          <w:sz w:val="32"/>
          <w:szCs w:val="32"/>
          <w:lang w:eastAsia="zh-CN"/>
        </w:rPr>
        <w:t>不超过5万元</w:t>
      </w:r>
    </w:p>
    <w:p w14:paraId="77146031">
      <w:pPr>
        <w:keepNext w:val="0"/>
        <w:keepLines w:val="0"/>
        <w:pageBreakBefore w:val="0"/>
        <w:wordWrap/>
        <w:overflowPunct/>
        <w:topLinePunct w:val="0"/>
        <w:bidi w:val="0"/>
        <w:spacing w:line="520" w:lineRule="exact"/>
      </w:pPr>
    </w:p>
    <w:p w14:paraId="1C100903">
      <w:pPr>
        <w:keepNext w:val="0"/>
        <w:keepLines w:val="0"/>
        <w:pageBreakBefore w:val="0"/>
        <w:wordWrap/>
        <w:overflowPunct/>
        <w:topLinePunct w:val="0"/>
        <w:bidi w:val="0"/>
        <w:spacing w:line="520" w:lineRule="exact"/>
      </w:pPr>
    </w:p>
    <w:p w14:paraId="24D7EFDD">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spacing w:val="8"/>
          <w:sz w:val="44"/>
          <w:szCs w:val="44"/>
          <w:lang w:eastAsia="zh-CN"/>
        </w:rPr>
      </w:pPr>
      <w:bookmarkStart w:id="2" w:name="_Toc4781"/>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 xml:space="preserve">8003 </w:t>
      </w:r>
      <w:r>
        <w:rPr>
          <w:rFonts w:ascii="方正小标宋简体" w:hAnsi="方正小标宋简体" w:eastAsia="方正小标宋简体" w:cs="方正小标宋简体"/>
          <w:spacing w:val="8"/>
          <w:sz w:val="44"/>
          <w:szCs w:val="44"/>
          <w:lang w:eastAsia="zh-CN"/>
        </w:rPr>
        <w:t>高密度脂蛋白（HDL）功能检测新体系（CUC）的建立及其在冠心病风险评估中的临床应用研究</w:t>
      </w:r>
      <w:bookmarkEnd w:id="2"/>
    </w:p>
    <w:p w14:paraId="425BCB6C">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pacing w:val="8"/>
          <w:sz w:val="32"/>
          <w:szCs w:val="32"/>
          <w:lang w:eastAsia="zh-CN"/>
        </w:rPr>
      </w:pPr>
    </w:p>
    <w:p w14:paraId="14B6A0EE">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一、领域：</w:t>
      </w:r>
      <w:r>
        <w:rPr>
          <w:rFonts w:ascii="仿宋_GB2312" w:hAnsi="仿宋_GB2312" w:eastAsia="仿宋_GB2312" w:cs="仿宋_GB2312"/>
          <w:spacing w:val="8"/>
          <w:sz w:val="32"/>
          <w:szCs w:val="32"/>
          <w:lang w:eastAsia="zh-CN"/>
        </w:rPr>
        <w:t>脂代谢、心血管疾病、检验医学</w:t>
      </w:r>
    </w:p>
    <w:p w14:paraId="39C9D95B">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pacing w:val="8"/>
          <w:sz w:val="32"/>
          <w:szCs w:val="32"/>
          <w:lang w:eastAsia="zh-CN"/>
        </w:rPr>
      </w:pPr>
      <w:r>
        <w:rPr>
          <w:rFonts w:hint="eastAsia" w:ascii="仿宋_GB2312" w:hAnsi="仿宋_GB2312" w:eastAsia="仿宋_GB2312" w:cs="仿宋_GB2312"/>
          <w:b/>
          <w:bCs/>
          <w:spacing w:val="8"/>
          <w:sz w:val="32"/>
          <w:szCs w:val="32"/>
          <w:lang w:eastAsia="zh-CN"/>
        </w:rPr>
        <w:t>二、主要研究内容</w:t>
      </w:r>
    </w:p>
    <w:p w14:paraId="524FC462">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w:t>
      </w:r>
      <w:r>
        <w:rPr>
          <w:rFonts w:ascii="仿宋_GB2312" w:hAnsi="仿宋_GB2312" w:eastAsia="仿宋_GB2312" w:cs="仿宋_GB2312"/>
          <w:spacing w:val="8"/>
          <w:sz w:val="32"/>
          <w:szCs w:val="32"/>
          <w:lang w:eastAsia="zh-CN"/>
        </w:rPr>
        <w:t>针对HDL-C浓度检测无法准确反映HDL功能的临床痛点</w:t>
      </w:r>
      <w:r>
        <w:rPr>
          <w:rFonts w:hint="eastAsia" w:ascii="仿宋_GB2312" w:hAnsi="仿宋_GB2312" w:eastAsia="仿宋_GB2312" w:cs="仿宋_GB2312"/>
          <w:spacing w:val="8"/>
          <w:sz w:val="32"/>
          <w:szCs w:val="32"/>
          <w:lang w:eastAsia="zh-CN"/>
        </w:rPr>
        <w:t>，</w:t>
      </w:r>
      <w:r>
        <w:rPr>
          <w:rFonts w:ascii="仿宋_GB2312" w:hAnsi="仿宋_GB2312" w:eastAsia="仿宋_GB2312" w:cs="仿宋_GB2312"/>
          <w:spacing w:val="8"/>
          <w:sz w:val="32"/>
          <w:szCs w:val="32"/>
          <w:lang w:eastAsia="zh-CN"/>
        </w:rPr>
        <w:t>以及现有胆固醇流出能力（Cholesterol Efflux Capacity, CEC）金标准方法需超速离心、体外细胞培养和放射性同位素标记、耗时数天而难以在临床常规开展的技术瓶颈，建立一种无需细胞培养、无放射性污染、6小时内可完成检测的胆固醇摄取能力（Cholesterol Uptake Capacity, CUC）新体系，并完成方法学性能评价（重复性、稳定性、灵敏度、特异性、准确度等）</w:t>
      </w:r>
      <w:r>
        <w:rPr>
          <w:rFonts w:hint="eastAsia" w:ascii="仿宋_GB2312" w:hAnsi="仿宋_GB2312" w:eastAsia="仿宋_GB2312" w:cs="仿宋_GB2312"/>
          <w:spacing w:val="8"/>
          <w:sz w:val="32"/>
          <w:szCs w:val="32"/>
          <w:lang w:eastAsia="zh-CN"/>
        </w:rPr>
        <w:t>；</w:t>
      </w:r>
    </w:p>
    <w:p w14:paraId="7162EB5A">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w:t>
      </w:r>
      <w:r>
        <w:rPr>
          <w:rFonts w:ascii="仿宋_GB2312" w:hAnsi="仿宋_GB2312" w:eastAsia="仿宋_GB2312" w:cs="仿宋_GB2312"/>
          <w:spacing w:val="8"/>
          <w:sz w:val="32"/>
          <w:szCs w:val="32"/>
          <w:lang w:eastAsia="zh-CN"/>
        </w:rPr>
        <w:t>以冠状动脉造影结果为分组依据，系统评估CUC与CEC的相关性及CUC替代CEC的可行性，明确二者在HDL功能评估上的优势与劣势；并通过对入组患者的随访，进一步验证CUC在冠心病发生发展评估中的临床价值，为HDL功能检测走向临床常规应用、HDL相关药物研发效果监测及心血管疾病精准防治提供新工具</w:t>
      </w:r>
      <w:r>
        <w:rPr>
          <w:rFonts w:hint="eastAsia" w:ascii="仿宋_GB2312" w:hAnsi="仿宋_GB2312" w:eastAsia="仿宋_GB2312" w:cs="仿宋_GB2312"/>
          <w:spacing w:val="8"/>
          <w:sz w:val="32"/>
          <w:szCs w:val="32"/>
          <w:lang w:eastAsia="zh-CN"/>
        </w:rPr>
        <w:t>。</w:t>
      </w:r>
    </w:p>
    <w:p w14:paraId="44F66A67">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pacing w:val="8"/>
          <w:sz w:val="32"/>
          <w:szCs w:val="32"/>
          <w:lang w:eastAsia="zh-CN"/>
        </w:rPr>
      </w:pPr>
      <w:r>
        <w:rPr>
          <w:rFonts w:hint="eastAsia" w:ascii="仿宋_GB2312" w:hAnsi="仿宋_GB2312" w:eastAsia="仿宋_GB2312" w:cs="仿宋_GB2312"/>
          <w:b/>
          <w:bCs/>
          <w:spacing w:val="8"/>
          <w:sz w:val="32"/>
          <w:szCs w:val="32"/>
          <w:lang w:eastAsia="zh-CN"/>
        </w:rPr>
        <w:t>三、项目考核指标（项目执行期内）</w:t>
      </w:r>
    </w:p>
    <w:p w14:paraId="550CF6BB">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（一）学术指标：发表学术论文≥1篇。</w:t>
      </w:r>
    </w:p>
    <w:p w14:paraId="52FEA7B7">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46FABC54">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val="en-AU" w:eastAsia="zh-CN"/>
        </w:rPr>
      </w:pPr>
      <w:r>
        <w:rPr>
          <w:rFonts w:ascii="仿宋_GB2312" w:hAnsi="仿宋_GB2312" w:eastAsia="仿宋_GB2312" w:cs="仿宋_GB2312"/>
          <w:spacing w:val="8"/>
          <w:sz w:val="32"/>
          <w:szCs w:val="32"/>
          <w:lang w:val="en-AU" w:eastAsia="zh-CN"/>
        </w:rPr>
        <w:t>1.完成CUC检测新体系的建立及完整方法学性能评价，形成≥1份方法性能验证报告；</w:t>
      </w:r>
    </w:p>
    <w:p w14:paraId="1A4B00FA">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val="en-AU" w:eastAsia="zh-CN"/>
        </w:rPr>
      </w:pPr>
      <w:r>
        <w:rPr>
          <w:rFonts w:ascii="仿宋_GB2312" w:hAnsi="仿宋_GB2312" w:eastAsia="仿宋_GB2312" w:cs="仿宋_GB2312"/>
          <w:spacing w:val="8"/>
          <w:sz w:val="32"/>
          <w:szCs w:val="32"/>
          <w:lang w:val="en-AU" w:eastAsia="zh-CN"/>
        </w:rPr>
        <w:t>2.完成冠心病不同狭窄程度分层人群及健康对照人群CUC与CEC的头对头比较，并评估CUC对冠心病诊断的判别能力，形成≥1份项目结题分析报告</w:t>
      </w:r>
      <w:r>
        <w:rPr>
          <w:rFonts w:hint="eastAsia" w:ascii="仿宋_GB2312" w:hAnsi="仿宋_GB2312" w:eastAsia="仿宋_GB2312" w:cs="仿宋_GB2312"/>
          <w:spacing w:val="8"/>
          <w:sz w:val="32"/>
          <w:szCs w:val="32"/>
          <w:lang w:val="en-AU" w:eastAsia="zh-CN"/>
        </w:rPr>
        <w:t>。</w:t>
      </w:r>
    </w:p>
    <w:p w14:paraId="1CA0046E">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3C7F40FC">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五、资助金额：</w:t>
      </w:r>
      <w:r>
        <w:rPr>
          <w:rFonts w:hint="eastAsia" w:ascii="仿宋_GB2312" w:hAnsi="仿宋_GB2312" w:eastAsia="仿宋_GB2312" w:cs="仿宋_GB2312"/>
          <w:spacing w:val="8"/>
          <w:sz w:val="32"/>
          <w:szCs w:val="32"/>
          <w:lang w:eastAsia="zh-CN"/>
        </w:rPr>
        <w:t>不超过5万元</w:t>
      </w:r>
    </w:p>
    <w:p w14:paraId="5D2795D2">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AFA376E">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489F8BEF">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29DE736">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6F34F49">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4EFA6F5">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822C491">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ADBECE4">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23BD3D62">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9DFC851">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7DCB97CC">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7DAB83DA">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5935D87">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71BB5A94">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3191C01">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7D48089">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4CD04F3">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485FE4B">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461F82F">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48D74580">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3DC135B">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79BB4CB3">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z w:val="44"/>
          <w:szCs w:val="44"/>
          <w:lang w:eastAsia="zh-CN"/>
        </w:rPr>
      </w:pPr>
      <w:bookmarkStart w:id="3" w:name="_Toc24093"/>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8004</w:t>
      </w:r>
      <w:r>
        <w:rPr>
          <w:rFonts w:hint="eastAsia" w:ascii="方正小标宋简体" w:hAnsi="方正小标宋简体" w:eastAsia="方正小标宋简体" w:cs="方正小标宋简体"/>
          <w:b w:val="0"/>
          <w:bCs w:val="0"/>
          <w:sz w:val="44"/>
          <w:szCs w:val="44"/>
          <w:lang w:eastAsia="zh-CN"/>
        </w:rPr>
        <w:t xml:space="preserve"> 核酸检测与血液学指标在儿童呼吸道病毒感染诊断的临床应用研究</w:t>
      </w:r>
      <w:bookmarkEnd w:id="3"/>
    </w:p>
    <w:p w14:paraId="417228CE">
      <w:pPr>
        <w:keepNext w:val="0"/>
        <w:keepLines w:val="0"/>
        <w:pageBreakBefore w:val="0"/>
        <w:wordWrap/>
        <w:overflowPunct/>
        <w:topLinePunct w:val="0"/>
        <w:bidi w:val="0"/>
        <w:spacing w:line="520" w:lineRule="exact"/>
        <w:jc w:val="both"/>
        <w:rPr>
          <w:rFonts w:hint="eastAsia" w:ascii="方正小标宋简体" w:hAnsi="方正小标宋简体" w:eastAsia="方正小标宋简体" w:cs="方正小标宋简体"/>
          <w:b/>
          <w:bCs/>
          <w:sz w:val="44"/>
          <w:szCs w:val="44"/>
          <w:lang w:eastAsia="zh-CN"/>
        </w:rPr>
      </w:pPr>
    </w:p>
    <w:p w14:paraId="59BF29B9">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b/>
          <w:bCs/>
          <w:snapToGrid w:val="0"/>
          <w:color w:val="000000"/>
          <w:sz w:val="32"/>
          <w:szCs w:val="32"/>
          <w:lang w:val="en-US" w:eastAsia="zh-CN" w:bidi="ar-SA"/>
        </w:rPr>
        <w:t>一、领域：</w:t>
      </w:r>
      <w:r>
        <w:rPr>
          <w:rFonts w:hint="eastAsia" w:ascii="仿宋_GB2312" w:hAnsi="仿宋_GB2312" w:eastAsia="仿宋_GB2312" w:cs="仿宋_GB2312"/>
          <w:snapToGrid w:val="0"/>
          <w:color w:val="000000"/>
          <w:sz w:val="32"/>
          <w:szCs w:val="32"/>
          <w:lang w:val="en-US" w:eastAsia="zh-CN" w:bidi="ar-SA"/>
        </w:rPr>
        <w:t>分子快检</w:t>
      </w:r>
    </w:p>
    <w:p w14:paraId="3FE47A62">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napToGrid w:val="0"/>
          <w:color w:val="000000"/>
          <w:sz w:val="32"/>
          <w:szCs w:val="32"/>
          <w:lang w:val="en-US" w:eastAsia="zh-CN" w:bidi="ar-SA"/>
        </w:rPr>
      </w:pPr>
      <w:r>
        <w:rPr>
          <w:rFonts w:hint="eastAsia" w:ascii="仿宋_GB2312" w:hAnsi="仿宋_GB2312" w:eastAsia="仿宋_GB2312" w:cs="仿宋_GB2312"/>
          <w:b/>
          <w:bCs/>
          <w:snapToGrid w:val="0"/>
          <w:color w:val="000000"/>
          <w:sz w:val="32"/>
          <w:szCs w:val="32"/>
          <w:lang w:val="en-US" w:eastAsia="zh-CN" w:bidi="ar-SA"/>
        </w:rPr>
        <w:t>二、主要研究内容</w:t>
      </w:r>
    </w:p>
    <w:p w14:paraId="0DADCDF4">
      <w:pPr>
        <w:pStyle w:val="4"/>
        <w:keepNext w:val="0"/>
        <w:keepLines w:val="0"/>
        <w:pageBreakBefore w:val="0"/>
        <w:wordWrap/>
        <w:overflowPunct/>
        <w:topLinePunct w:val="0"/>
        <w:bidi w:val="0"/>
        <w:spacing w:line="520" w:lineRule="exact"/>
        <w:ind w:right="19" w:firstLine="640" w:firstLineChars="200"/>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snapToGrid w:val="0"/>
          <w:color w:val="000000"/>
          <w:sz w:val="32"/>
          <w:szCs w:val="32"/>
          <w:lang w:val="en-US" w:eastAsia="zh-CN" w:bidi="ar-SA"/>
        </w:rPr>
        <w:t>（一）本研究旨在建立一套适用于儿童门急诊呼吸道病毒感染的肺炎预测模型；</w:t>
      </w:r>
    </w:p>
    <w:p w14:paraId="29CD457C">
      <w:pPr>
        <w:pStyle w:val="4"/>
        <w:keepNext w:val="0"/>
        <w:keepLines w:val="0"/>
        <w:pageBreakBefore w:val="0"/>
        <w:wordWrap/>
        <w:overflowPunct/>
        <w:topLinePunct w:val="0"/>
        <w:bidi w:val="0"/>
        <w:spacing w:line="520" w:lineRule="exact"/>
        <w:ind w:right="19" w:firstLine="640" w:firstLineChars="200"/>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snapToGrid w:val="0"/>
          <w:color w:val="000000"/>
          <w:sz w:val="32"/>
          <w:szCs w:val="32"/>
          <w:lang w:val="en-US" w:eastAsia="zh-CN" w:bidi="ar-SA"/>
        </w:rPr>
        <w:t>（二）通过回顾性队列研究，纳入通过核酸检测（RT-qPCR）确诊呼吸道病毒感染患者，通过核酸检测Ct值结合血液学指标（如细胞群落数据(CPD) 、C反应蛋白、降钙素原、淀粉样蛋白A等）分别以肺炎确诊、重症肺炎确诊为终点，构建预测模型，并对该模型进行评价。</w:t>
      </w:r>
    </w:p>
    <w:p w14:paraId="59F0E50D">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napToGrid w:val="0"/>
          <w:color w:val="000000"/>
          <w:sz w:val="32"/>
          <w:szCs w:val="32"/>
          <w:lang w:val="en-US" w:eastAsia="zh-CN" w:bidi="ar-SA"/>
        </w:rPr>
      </w:pPr>
      <w:r>
        <w:rPr>
          <w:rFonts w:hint="eastAsia" w:ascii="仿宋_GB2312" w:hAnsi="仿宋_GB2312" w:eastAsia="仿宋_GB2312" w:cs="仿宋_GB2312"/>
          <w:b/>
          <w:bCs/>
          <w:snapToGrid w:val="0"/>
          <w:color w:val="000000"/>
          <w:sz w:val="32"/>
          <w:szCs w:val="32"/>
          <w:lang w:val="en-US" w:eastAsia="zh-CN" w:bidi="ar-SA"/>
        </w:rPr>
        <w:t>三、项目考核指标（项目执行期内）</w:t>
      </w:r>
    </w:p>
    <w:p w14:paraId="2AAB46C6">
      <w:pPr>
        <w:pStyle w:val="4"/>
        <w:keepNext w:val="0"/>
        <w:keepLines w:val="0"/>
        <w:pageBreakBefore w:val="0"/>
        <w:wordWrap/>
        <w:overflowPunct/>
        <w:topLinePunct w:val="0"/>
        <w:bidi w:val="0"/>
        <w:spacing w:line="520" w:lineRule="exact"/>
        <w:ind w:right="19" w:firstLine="480" w:firstLineChars="150"/>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snapToGrid w:val="0"/>
          <w:color w:val="000000"/>
          <w:sz w:val="32"/>
          <w:szCs w:val="32"/>
          <w:lang w:val="en-US" w:eastAsia="zh-CN" w:bidi="ar-SA"/>
        </w:rPr>
        <w:t>（一）学术指标：共同发表中文或SCI论文≥1篇。</w:t>
      </w:r>
    </w:p>
    <w:p w14:paraId="71D185B2">
      <w:pPr>
        <w:pStyle w:val="4"/>
        <w:keepNext w:val="0"/>
        <w:keepLines w:val="0"/>
        <w:pageBreakBefore w:val="0"/>
        <w:wordWrap/>
        <w:overflowPunct/>
        <w:topLinePunct w:val="0"/>
        <w:bidi w:val="0"/>
        <w:spacing w:line="520" w:lineRule="exact"/>
        <w:ind w:right="19" w:firstLine="480" w:firstLineChars="150"/>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snapToGrid w:val="0"/>
          <w:color w:val="000000"/>
          <w:sz w:val="32"/>
          <w:szCs w:val="32"/>
          <w:lang w:val="en-US" w:eastAsia="zh-CN" w:bidi="ar-SA"/>
        </w:rPr>
        <w:t>（二）技术指标：建立基于核酸检测Ct值与血液学指标的肺炎预测模型，并对模型进行评估，形成≥1份评估报告。</w:t>
      </w:r>
    </w:p>
    <w:p w14:paraId="2EC7FBBA">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b/>
          <w:bCs/>
          <w:snapToGrid w:val="0"/>
          <w:color w:val="000000"/>
          <w:sz w:val="32"/>
          <w:szCs w:val="32"/>
          <w:lang w:val="en-US" w:eastAsia="zh-CN" w:bidi="ar-SA"/>
        </w:rPr>
        <w:t>四、项目实施年限：</w:t>
      </w:r>
      <w:r>
        <w:rPr>
          <w:rFonts w:hint="eastAsia" w:ascii="仿宋_GB2312" w:hAnsi="仿宋_GB2312" w:eastAsia="仿宋_GB2312" w:cs="仿宋_GB2312"/>
          <w:snapToGrid w:val="0"/>
          <w:color w:val="000000"/>
          <w:sz w:val="32"/>
          <w:szCs w:val="32"/>
          <w:lang w:val="en-US" w:eastAsia="zh-CN" w:bidi="ar-SA"/>
        </w:rPr>
        <w:t>不超过2年</w:t>
      </w:r>
    </w:p>
    <w:p w14:paraId="5341AFCC">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napToGrid w:val="0"/>
          <w:color w:val="000000"/>
          <w:sz w:val="32"/>
          <w:szCs w:val="32"/>
          <w:lang w:val="en-US" w:eastAsia="zh-CN" w:bidi="ar-SA"/>
        </w:rPr>
      </w:pPr>
      <w:r>
        <w:rPr>
          <w:rFonts w:hint="eastAsia" w:ascii="仿宋_GB2312" w:hAnsi="仿宋_GB2312" w:eastAsia="仿宋_GB2312" w:cs="仿宋_GB2312"/>
          <w:b/>
          <w:bCs/>
          <w:snapToGrid w:val="0"/>
          <w:color w:val="000000"/>
          <w:sz w:val="32"/>
          <w:szCs w:val="32"/>
          <w:lang w:val="en-US" w:eastAsia="zh-CN" w:bidi="ar-SA"/>
        </w:rPr>
        <w:t>五、资助金额：</w:t>
      </w:r>
      <w:r>
        <w:rPr>
          <w:rFonts w:hint="eastAsia" w:ascii="仿宋_GB2312" w:hAnsi="仿宋_GB2312" w:eastAsia="仿宋_GB2312" w:cs="仿宋_GB2312"/>
          <w:snapToGrid w:val="0"/>
          <w:color w:val="000000"/>
          <w:sz w:val="32"/>
          <w:szCs w:val="32"/>
          <w:lang w:val="en-US" w:eastAsia="zh-CN" w:bidi="ar-SA"/>
        </w:rPr>
        <w:t>不超过5万元</w:t>
      </w:r>
    </w:p>
    <w:p w14:paraId="203D6E5F">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55FAC89E">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1EBA03BB">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00E95819">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66268906">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68F68424">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7A25669C">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2D7C7DEA">
      <w:pPr>
        <w:pStyle w:val="4"/>
        <w:keepNext w:val="0"/>
        <w:keepLines w:val="0"/>
        <w:pageBreakBefore w:val="0"/>
        <w:wordWrap/>
        <w:overflowPunct/>
        <w:topLinePunct w:val="0"/>
        <w:bidi w:val="0"/>
        <w:spacing w:line="520" w:lineRule="exact"/>
        <w:ind w:right="17"/>
        <w:jc w:val="center"/>
        <w:rPr>
          <w:rFonts w:ascii="方正小标宋简体" w:hAnsi="方正小标宋简体" w:eastAsia="方正小标宋简体" w:cs="方正小标宋简体"/>
          <w:spacing w:val="8"/>
          <w:sz w:val="44"/>
          <w:szCs w:val="44"/>
          <w:lang w:eastAsia="zh-CN"/>
        </w:rPr>
      </w:pPr>
    </w:p>
    <w:p w14:paraId="7ABDDBFB">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center"/>
        <w:outlineLvl w:val="0"/>
        <w:rPr>
          <w:rFonts w:hint="eastAsia" w:ascii="方正小标宋简体" w:hAnsi="方正小标宋简体" w:eastAsia="方正小标宋简体" w:cs="方正小标宋简体"/>
          <w:snapToGrid w:val="0"/>
          <w:color w:val="000000"/>
          <w:spacing w:val="8"/>
          <w:sz w:val="44"/>
          <w:szCs w:val="44"/>
          <w:lang w:val="en-US" w:eastAsia="zh-CN" w:bidi="ar-SA"/>
        </w:rPr>
      </w:pPr>
      <w:bookmarkStart w:id="4" w:name="_Toc18937"/>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05 </w:t>
      </w:r>
      <w:r>
        <w:rPr>
          <w:rFonts w:hint="eastAsia" w:ascii="方正小标宋简体" w:hAnsi="方正小标宋简体" w:eastAsia="方正小标宋简体" w:cs="方正小标宋简体"/>
          <w:snapToGrid w:val="0"/>
          <w:color w:val="000000"/>
          <w:spacing w:val="8"/>
          <w:sz w:val="44"/>
          <w:szCs w:val="44"/>
          <w:lang w:val="en-US" w:eastAsia="zh-CN" w:bidi="ar-SA"/>
        </w:rPr>
        <w:t>基于实验室血细胞检测指标的多发性骨髓瘤早期筛查模型构建研究</w:t>
      </w:r>
      <w:bookmarkEnd w:id="4"/>
    </w:p>
    <w:p w14:paraId="2C0399EF">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jc w:val="both"/>
        <w:rPr>
          <w:rFonts w:hint="eastAsia" w:ascii="方正小标宋简体" w:hAnsi="方正小标宋简体" w:eastAsia="方正小标宋简体" w:cs="方正小标宋简体"/>
          <w:snapToGrid w:val="0"/>
          <w:color w:val="000000"/>
          <w:spacing w:val="8"/>
          <w:sz w:val="44"/>
          <w:szCs w:val="44"/>
          <w:lang w:val="en-US" w:eastAsia="zh-CN" w:bidi="ar-SA"/>
        </w:rPr>
      </w:pPr>
    </w:p>
    <w:p w14:paraId="1EE8FBF7">
      <w:pPr>
        <w:pStyle w:val="8"/>
        <w:keepNext w:val="0"/>
        <w:keepLines w:val="0"/>
        <w:pageBreakBefore w:val="0"/>
        <w:widowControl/>
        <w:numPr>
          <w:ilvl w:val="0"/>
          <w:numId w:val="0"/>
        </w:numPr>
        <w:suppressLineNumbers w:val="0"/>
        <w:shd w:val="clear" w:fill="FFFFFF"/>
        <w:wordWrap/>
        <w:overflowPunct/>
        <w:topLinePunct w:val="0"/>
        <w:bidi w:val="0"/>
        <w:spacing w:beforeAutospacing="0" w:afterAutospacing="0" w:line="520" w:lineRule="exact"/>
        <w:ind w:left="0" w:leftChars="0" w:right="0" w:rightChars="0" w:firstLine="0" w:firstLineChars="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一、领域：</w:t>
      </w:r>
      <w:r>
        <w:rPr>
          <w:rFonts w:hint="eastAsia" w:ascii="仿宋_GB2312" w:hAnsi="仿宋_GB2312" w:eastAsia="仿宋_GB2312" w:cs="仿宋_GB2312"/>
          <w:snapToGrid w:val="0"/>
          <w:color w:val="000000"/>
          <w:spacing w:val="8"/>
          <w:sz w:val="32"/>
          <w:szCs w:val="32"/>
          <w:lang w:val="en-US" w:eastAsia="zh-CN" w:bidi="ar-SA"/>
        </w:rPr>
        <w:t>临床血液病学</w:t>
      </w:r>
    </w:p>
    <w:p w14:paraId="0064EDA5">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 xml:space="preserve">二、主要研究内容 </w:t>
      </w:r>
      <w:r>
        <w:rPr>
          <w:rFonts w:hint="eastAsia" w:ascii="仿宋_GB2312" w:hAnsi="仿宋_GB2312" w:eastAsia="仿宋_GB2312" w:cs="仿宋_GB2312"/>
          <w:snapToGrid w:val="0"/>
          <w:color w:val="000000"/>
          <w:spacing w:val="8"/>
          <w:sz w:val="32"/>
          <w:szCs w:val="32"/>
          <w:lang w:val="en-US" w:eastAsia="zh-CN" w:bidi="ar-SA"/>
        </w:rPr>
        <w:br w:type="textWrapping"/>
      </w:r>
      <w:r>
        <w:rPr>
          <w:rFonts w:hint="eastAsia" w:ascii="仿宋_GB2312" w:hAnsi="仿宋_GB2312" w:eastAsia="仿宋_GB2312" w:cs="仿宋_GB2312"/>
          <w:snapToGrid w:val="0"/>
          <w:color w:val="000000"/>
          <w:spacing w:val="8"/>
          <w:sz w:val="32"/>
          <w:szCs w:val="32"/>
          <w:lang w:val="en-US" w:eastAsia="zh-CN" w:bidi="ar-SA"/>
        </w:rPr>
        <w:t xml:space="preserve">    （一）利用实验室常规血细胞检测指标，构建多发性骨髓瘤早期筛查的机器学习预测模型。首先，回顾性收集初诊MM患者及健康对照人群的血细胞检测数据，包括血红蛋白（Hb）、白细胞计数、血小板计数、平均红细胞体积（MCV）、红细胞分布宽度（RDW）、血小板平均体积（MPV）及中性粒细胞/淋巴细胞比值（NLR）、血小板/淋巴细胞比值（PLR）等参数；</w:t>
      </w:r>
    </w:p>
    <w:p w14:paraId="05CC07B3">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二）分析各血细胞指标在MM不同临床分期中的差异表达规律，筛选与MM发生及进展密切相关的关键指标。进而，基于机器学习算法构建并优化MM早期筛查模型，采用ROC曲线、灵敏度、特异度等指标综合评价模型性能；</w:t>
      </w:r>
    </w:p>
    <w:p w14:paraId="745E79F7">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（三）通过独立验证集对模型进行外部验证，解析模型决策逻辑，评估模型的临床适用性，为基层医疗机构及体检中心提供简便、经济、可及的MM早期筛查辅助工具。</w:t>
      </w:r>
    </w:p>
    <w:p w14:paraId="227A4178">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675" w:right="0" w:hanging="675" w:hangingChars="200"/>
        <w:rPr>
          <w:rFonts w:hint="eastAsia" w:ascii="仿宋_GB2312" w:hAnsi="仿宋_GB2312" w:eastAsia="仿宋_GB2312" w:cs="仿宋_GB2312"/>
          <w:b/>
          <w:bCs/>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三、项目考核指标（项目执行期内）</w:t>
      </w:r>
    </w:p>
    <w:p w14:paraId="389CEA62">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659" w:leftChars="314" w:right="0" w:firstLine="0" w:firstLineChars="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（一）学术指标：发表学术论文≥1篇。</w:t>
      </w:r>
    </w:p>
    <w:p w14:paraId="6DCB54AB">
      <w:pPr>
        <w:pStyle w:val="8"/>
        <w:keepNext w:val="0"/>
        <w:keepLines w:val="0"/>
        <w:pageBreakBefore w:val="0"/>
        <w:widowControl/>
        <w:suppressLineNumbers w:val="0"/>
        <w:shd w:val="clear" w:fill="FFFFFF"/>
        <w:wordWrap/>
        <w:overflowPunct/>
        <w:topLinePunct w:val="0"/>
        <w:bidi w:val="0"/>
        <w:spacing w:beforeAutospacing="0" w:afterAutospacing="0" w:line="520" w:lineRule="exact"/>
        <w:ind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（二）技术指标：构建MM早期筛查模型，纳入病例≥40例、对照≥100例；模型AUC≥0.80，灵敏度≥85%，特异度≥80%；形成≥1份项目结题分析报告。</w:t>
      </w:r>
    </w:p>
    <w:p w14:paraId="68BB072E">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四、项目实施年限：</w:t>
      </w:r>
      <w:r>
        <w:rPr>
          <w:rFonts w:hint="eastAsia" w:ascii="仿宋_GB2312" w:hAnsi="仿宋_GB2312" w:eastAsia="仿宋_GB2312" w:cs="仿宋_GB2312"/>
          <w:snapToGrid w:val="0"/>
          <w:color w:val="000000"/>
          <w:spacing w:val="8"/>
          <w:sz w:val="32"/>
          <w:szCs w:val="32"/>
          <w:lang w:val="en-US" w:eastAsia="zh-CN" w:bidi="ar-SA"/>
        </w:rPr>
        <w:t>不超过2年</w:t>
      </w:r>
    </w:p>
    <w:p w14:paraId="1FBD437A">
      <w:pPr>
        <w:keepNext w:val="0"/>
        <w:keepLines w:val="0"/>
        <w:pageBreakBefore w:val="0"/>
        <w:wordWrap/>
        <w:overflowPunct/>
        <w:topLinePunct w:val="0"/>
        <w:bidi w:val="0"/>
        <w:spacing w:line="520" w:lineRule="exact"/>
        <w:jc w:val="both"/>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b/>
          <w:bCs/>
          <w:spacing w:val="8"/>
          <w:sz w:val="32"/>
          <w:szCs w:val="32"/>
          <w:lang w:eastAsia="zh-CN"/>
        </w:rPr>
        <w:t>五、资助金额：</w:t>
      </w:r>
      <w:r>
        <w:rPr>
          <w:rFonts w:hint="eastAsia" w:ascii="仿宋_GB2312" w:hAnsi="仿宋_GB2312" w:eastAsia="仿宋_GB2312" w:cs="仿宋_GB2312"/>
          <w:b w:val="0"/>
          <w:bCs w:val="0"/>
          <w:spacing w:val="8"/>
          <w:sz w:val="32"/>
          <w:szCs w:val="32"/>
          <w:highlight w:val="none"/>
          <w:lang w:val="en-US" w:eastAsia="zh-CN"/>
        </w:rPr>
        <w:t>不超过5万元</w:t>
      </w:r>
    </w:p>
    <w:p w14:paraId="30B99125">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spacing w:val="8"/>
          <w:sz w:val="44"/>
          <w:szCs w:val="44"/>
          <w:lang w:eastAsia="zh-CN"/>
        </w:rPr>
      </w:pPr>
      <w:bookmarkStart w:id="5" w:name="_Toc10064"/>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 xml:space="preserve">8006 </w:t>
      </w:r>
      <w:r>
        <w:rPr>
          <w:rFonts w:ascii="方正小标宋简体" w:hAnsi="方正小标宋简体" w:eastAsia="方正小标宋简体" w:cs="方正小标宋简体"/>
          <w:spacing w:val="8"/>
          <w:sz w:val="44"/>
          <w:szCs w:val="44"/>
          <w:lang w:eastAsia="zh-CN"/>
        </w:rPr>
        <w:t>hs-TnI在糖尿病肾病患者亚临床心肌损伤中的临床价值</w:t>
      </w:r>
      <w:r>
        <w:rPr>
          <w:rFonts w:hint="eastAsia" w:ascii="方正小标宋简体" w:hAnsi="方正小标宋简体" w:eastAsia="方正小标宋简体" w:cs="方正小标宋简体"/>
          <w:spacing w:val="8"/>
          <w:sz w:val="44"/>
          <w:szCs w:val="44"/>
          <w:lang w:eastAsia="zh-CN"/>
        </w:rPr>
        <w:t>研究</w:t>
      </w:r>
      <w:bookmarkEnd w:id="5"/>
    </w:p>
    <w:p w14:paraId="3A05179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bCs/>
          <w:sz w:val="32"/>
          <w:szCs w:val="32"/>
          <w:lang w:eastAsia="zh-CN"/>
        </w:rPr>
      </w:pPr>
    </w:p>
    <w:p w14:paraId="66DDCB1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一、领域：</w:t>
      </w:r>
      <w:r>
        <w:rPr>
          <w:rFonts w:ascii="仿宋_GB2312" w:hAnsi="仿宋_GB2312" w:eastAsia="仿宋_GB2312" w:cs="仿宋_GB2312"/>
          <w:sz w:val="32"/>
          <w:szCs w:val="32"/>
          <w:lang w:eastAsia="zh-CN"/>
        </w:rPr>
        <w:t>糖尿病肾病、心血管、检验医学</w:t>
      </w:r>
    </w:p>
    <w:p w14:paraId="492F7AE5">
      <w:pPr>
        <w:pStyle w:val="11"/>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二、主要研究内容</w:t>
      </w:r>
    </w:p>
    <w:p w14:paraId="237DAA7D">
      <w:pPr>
        <w:pStyle w:val="11"/>
        <w:keepNext w:val="0"/>
        <w:keepLines w:val="0"/>
        <w:pageBreakBefore w:val="0"/>
        <w:widowControl w:val="0"/>
        <w:kinsoku/>
        <w:wordWrap/>
        <w:overflowPunct/>
        <w:topLinePunct w:val="0"/>
        <w:autoSpaceDE/>
        <w:autoSpaceDN/>
        <w:bidi w:val="0"/>
        <w:adjustRightInd/>
        <w:snapToGrid/>
        <w:spacing w:line="520" w:lineRule="exact"/>
        <w:ind w:left="0" w:firstLine="66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（一）</w:t>
      </w:r>
      <w:r>
        <w:rPr>
          <w:rFonts w:ascii="仿宋_GB2312" w:hAnsi="仿宋_GB2312" w:eastAsia="仿宋_GB2312" w:cs="仿宋_GB2312"/>
          <w:kern w:val="2"/>
          <w:sz w:val="32"/>
          <w:szCs w:val="32"/>
          <w:lang w:eastAsia="zh-CN"/>
        </w:rPr>
        <w:t>针对糖尿病肾病（DKD）患者心血管事件发生率及死亡率显著升高、慢性亚临床心肌损伤早期识别困难，且心脏标志物水平受肾功能显著影响、缺乏针对DKD人群的临床解读依据的临床痛点，系统评估BNP、MYO及hs-cTnI等心脏标志物水平与肾功能分期的关联及随</w:t>
      </w:r>
      <w:r>
        <w:rPr>
          <w:rFonts w:hint="eastAsia" w:ascii="仿宋_GB2312" w:hAnsi="仿宋_GB2312" w:eastAsia="仿宋_GB2312" w:cs="仿宋_GB2312"/>
          <w:kern w:val="2"/>
          <w:sz w:val="32"/>
          <w:szCs w:val="32"/>
          <w:lang w:eastAsia="zh-CN"/>
        </w:rPr>
        <w:t>肾小球滤过率（</w:t>
      </w:r>
      <w:r>
        <w:rPr>
          <w:rFonts w:ascii="仿宋_GB2312" w:hAnsi="仿宋_GB2312" w:eastAsia="仿宋_GB2312" w:cs="仿宋_GB2312"/>
          <w:kern w:val="2"/>
          <w:sz w:val="32"/>
          <w:szCs w:val="32"/>
          <w:lang w:eastAsia="zh-CN"/>
        </w:rPr>
        <w:t>eGFR</w:t>
      </w:r>
      <w:r>
        <w:rPr>
          <w:rFonts w:hint="eastAsia" w:ascii="仿宋_GB2312" w:hAnsi="仿宋_GB2312" w:eastAsia="仿宋_GB2312" w:cs="仿宋_GB2312"/>
          <w:kern w:val="2"/>
          <w:sz w:val="32"/>
          <w:szCs w:val="32"/>
          <w:lang w:eastAsia="zh-CN"/>
        </w:rPr>
        <w:t>）</w:t>
      </w:r>
      <w:r>
        <w:rPr>
          <w:rFonts w:ascii="仿宋_GB2312" w:hAnsi="仿宋_GB2312" w:eastAsia="仿宋_GB2312" w:cs="仿宋_GB2312"/>
          <w:kern w:val="2"/>
          <w:sz w:val="32"/>
          <w:szCs w:val="32"/>
          <w:lang w:eastAsia="zh-CN"/>
        </w:rPr>
        <w:t>下降的趋势性变化规律；</w:t>
      </w:r>
    </w:p>
    <w:p w14:paraId="63F55244">
      <w:pPr>
        <w:pStyle w:val="11"/>
        <w:keepNext w:val="0"/>
        <w:keepLines w:val="0"/>
        <w:pageBreakBefore w:val="0"/>
        <w:widowControl w:val="0"/>
        <w:kinsoku/>
        <w:wordWrap/>
        <w:overflowPunct/>
        <w:topLinePunct w:val="0"/>
        <w:autoSpaceDE/>
        <w:autoSpaceDN/>
        <w:bidi w:val="0"/>
        <w:adjustRightInd/>
        <w:snapToGrid/>
        <w:spacing w:line="520" w:lineRule="exact"/>
        <w:ind w:left="0" w:firstLine="660"/>
        <w:jc w:val="both"/>
        <w:textAlignment w:val="auto"/>
        <w:rPr>
          <w:rFonts w:hint="eastAsia"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（二）分析上述心脏标志物与eGFR</w:t>
      </w:r>
      <w:r>
        <w:rPr>
          <w:rFonts w:hint="eastAsia" w:ascii="仿宋_GB2312" w:hAnsi="仿宋_GB2312" w:eastAsia="仿宋_GB2312" w:cs="仿宋_GB2312"/>
          <w:kern w:val="2"/>
          <w:sz w:val="32"/>
          <w:szCs w:val="32"/>
          <w:lang w:eastAsia="zh-CN"/>
        </w:rPr>
        <w:t>等</w:t>
      </w:r>
      <w:r>
        <w:rPr>
          <w:rFonts w:ascii="仿宋_GB2312" w:hAnsi="仿宋_GB2312" w:eastAsia="仿宋_GB2312" w:cs="仿宋_GB2312"/>
          <w:kern w:val="2"/>
          <w:sz w:val="32"/>
          <w:szCs w:val="32"/>
          <w:lang w:eastAsia="zh-CN"/>
        </w:rPr>
        <w:t>肾功能指标的相关性，明确各标志物在DKD不同肾功能分层人群中识别亚临床心肌损伤的临床意义及联合应用价值，为DKD患者心血管风险分层管理与个体化诊疗提供检验医学依据。</w:t>
      </w:r>
    </w:p>
    <w:p w14:paraId="06D5402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三、项目考核指标（项目执行期内）</w:t>
      </w:r>
    </w:p>
    <w:p w14:paraId="3A5083C9">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（一）学术指标：发表学术论文≥1篇。</w:t>
      </w:r>
    </w:p>
    <w:p w14:paraId="0362B70F">
      <w:pPr>
        <w:pStyle w:val="4"/>
        <w:keepNext w:val="0"/>
        <w:keepLines w:val="0"/>
        <w:pageBreakBefore w:val="0"/>
        <w:wordWrap/>
        <w:overflowPunct/>
        <w:topLinePunct w:val="0"/>
        <w:bidi w:val="0"/>
        <w:spacing w:line="520" w:lineRule="exact"/>
        <w:ind w:right="19" w:firstLine="640"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spacing w:val="8"/>
          <w:sz w:val="32"/>
          <w:szCs w:val="32"/>
          <w:lang w:eastAsia="zh-CN"/>
        </w:rPr>
        <w:t>技术指标：</w:t>
      </w:r>
    </w:p>
    <w:p w14:paraId="17CFF361">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pacing w:val="8"/>
          <w:sz w:val="32"/>
          <w:szCs w:val="32"/>
          <w:lang w:eastAsia="zh-CN"/>
        </w:rPr>
        <w:t>1.</w:t>
      </w:r>
      <w:r>
        <w:rPr>
          <w:rFonts w:ascii="仿宋_GB2312" w:hAnsi="仿宋_GB2312" w:eastAsia="仿宋_GB2312" w:cs="仿宋_GB2312"/>
          <w:kern w:val="2"/>
          <w:sz w:val="32"/>
          <w:szCs w:val="32"/>
          <w:lang w:eastAsia="zh-CN"/>
        </w:rPr>
        <w:t>完成≥2</w:t>
      </w:r>
      <w:r>
        <w:rPr>
          <w:rFonts w:hint="eastAsia" w:ascii="仿宋_GB2312" w:hAnsi="仿宋_GB2312" w:eastAsia="仿宋_GB2312" w:cs="仿宋_GB2312"/>
          <w:kern w:val="2"/>
          <w:sz w:val="32"/>
          <w:szCs w:val="32"/>
          <w:lang w:eastAsia="zh-CN"/>
        </w:rPr>
        <w:t>0</w:t>
      </w:r>
      <w:r>
        <w:rPr>
          <w:rFonts w:ascii="仿宋_GB2312" w:hAnsi="仿宋_GB2312" w:eastAsia="仿宋_GB2312" w:cs="仿宋_GB2312"/>
          <w:kern w:val="2"/>
          <w:sz w:val="32"/>
          <w:szCs w:val="32"/>
          <w:lang w:eastAsia="zh-CN"/>
        </w:rPr>
        <w:t>0例研究对象的入组、心脏标志物与肾功能/代谢指标的检测及数据整理；</w:t>
      </w:r>
    </w:p>
    <w:p w14:paraId="6DC66DC8">
      <w:pPr>
        <w:pStyle w:val="4"/>
        <w:keepNext w:val="0"/>
        <w:keepLines w:val="0"/>
        <w:pageBreakBefore w:val="0"/>
        <w:wordWrap/>
        <w:overflowPunct/>
        <w:topLinePunct w:val="0"/>
        <w:bidi w:val="0"/>
        <w:spacing w:line="520" w:lineRule="exact"/>
        <w:ind w:right="19" w:firstLine="640"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w:t>
      </w:r>
      <w:r>
        <w:rPr>
          <w:rFonts w:ascii="仿宋_GB2312" w:hAnsi="仿宋_GB2312" w:eastAsia="仿宋_GB2312" w:cs="仿宋_GB2312"/>
          <w:bCs/>
          <w:spacing w:val="8"/>
          <w:sz w:val="32"/>
          <w:szCs w:val="32"/>
          <w:lang w:eastAsia="zh-CN"/>
        </w:rPr>
        <w:t>系统评估hs-cTnI、BNP、MYO等心脏标志物在DKD不同肾功能分层人群中的分布规律、趋势性变化及其与亚临床心肌损伤的关联，并形成≥1份项目结题分析报告。</w:t>
      </w:r>
    </w:p>
    <w:p w14:paraId="01A305C9">
      <w:pPr>
        <w:pStyle w:val="11"/>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四、项目实施年限：</w:t>
      </w:r>
      <w:r>
        <w:rPr>
          <w:rFonts w:hint="eastAsia" w:ascii="仿宋_GB2312" w:hAnsi="仿宋_GB2312" w:eastAsia="仿宋_GB2312" w:cs="仿宋_GB2312"/>
          <w:sz w:val="32"/>
          <w:szCs w:val="32"/>
          <w:lang w:eastAsia="zh-CN"/>
        </w:rPr>
        <w:t>不超过2年</w:t>
      </w:r>
    </w:p>
    <w:p w14:paraId="5E040719">
      <w:pPr>
        <w:pStyle w:val="11"/>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五、资助金额：</w:t>
      </w:r>
      <w:r>
        <w:rPr>
          <w:rFonts w:hint="eastAsia" w:ascii="仿宋_GB2312" w:hAnsi="仿宋_GB2312" w:eastAsia="仿宋_GB2312" w:cs="仿宋_GB2312"/>
          <w:sz w:val="32"/>
          <w:szCs w:val="32"/>
          <w:lang w:eastAsia="zh-CN"/>
        </w:rPr>
        <w:t>不超过5万元</w:t>
      </w:r>
    </w:p>
    <w:p w14:paraId="13B4CF77">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44CAAE0B">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spacing w:val="8"/>
          <w:sz w:val="44"/>
          <w:szCs w:val="44"/>
          <w:lang w:eastAsia="zh-CN"/>
        </w:rPr>
      </w:pPr>
      <w:bookmarkStart w:id="6" w:name="_Toc18999"/>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8007</w:t>
      </w:r>
      <w:r>
        <w:rPr>
          <w:rFonts w:hint="eastAsia" w:ascii="方正小标宋简体" w:hAnsi="方正小标宋简体" w:eastAsia="方正小标宋简体" w:cs="方正小标宋简体"/>
          <w:spacing w:val="8"/>
          <w:sz w:val="44"/>
          <w:szCs w:val="44"/>
          <w:lang w:eastAsia="zh-CN"/>
        </w:rPr>
        <w:t xml:space="preserve"> 基于液相色谱串联质谱法参照的化学发光法游离睾酮检测在多囊卵巢综合征合并亚临床甲状腺功能减退患者中的应用价值研究</w:t>
      </w:r>
      <w:bookmarkEnd w:id="6"/>
    </w:p>
    <w:p w14:paraId="7031B175">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spacing w:val="8"/>
          <w:sz w:val="44"/>
          <w:szCs w:val="44"/>
          <w:lang w:eastAsia="zh-CN"/>
        </w:rPr>
      </w:pPr>
    </w:p>
    <w:p w14:paraId="2A1AC55C">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一、领域：</w:t>
      </w:r>
      <w:r>
        <w:rPr>
          <w:rFonts w:hint="eastAsia" w:ascii="仿宋_GB2312" w:hAnsi="仿宋_GB2312" w:eastAsia="仿宋_GB2312" w:cs="仿宋_GB2312"/>
          <w:spacing w:val="8"/>
          <w:sz w:val="32"/>
          <w:szCs w:val="32"/>
          <w:lang w:eastAsia="zh-CN"/>
        </w:rPr>
        <w:t>生殖医学与生殖内分泌疾病</w:t>
      </w:r>
    </w:p>
    <w:p w14:paraId="5B810AD0">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pacing w:val="8"/>
          <w:sz w:val="32"/>
          <w:szCs w:val="32"/>
          <w:lang w:eastAsia="zh-CN"/>
        </w:rPr>
      </w:pPr>
      <w:r>
        <w:rPr>
          <w:rFonts w:hint="eastAsia" w:ascii="仿宋_GB2312" w:hAnsi="仿宋_GB2312" w:eastAsia="仿宋_GB2312" w:cs="仿宋_GB2312"/>
          <w:b/>
          <w:bCs/>
          <w:spacing w:val="8"/>
          <w:sz w:val="32"/>
          <w:szCs w:val="32"/>
          <w:lang w:eastAsia="zh-CN"/>
        </w:rPr>
        <w:t>二、主要研究内容</w:t>
      </w:r>
    </w:p>
    <w:p w14:paraId="5DA41890">
      <w:pPr>
        <w:pStyle w:val="4"/>
        <w:keepNext w:val="0"/>
        <w:keepLines w:val="0"/>
        <w:pageBreakBefore w:val="0"/>
        <w:wordWrap/>
        <w:overflowPunct/>
        <w:topLinePunct w:val="0"/>
        <w:bidi w:val="0"/>
        <w:spacing w:line="520" w:lineRule="exact"/>
        <w:ind w:right="19" w:firstLine="672" w:firstLineChars="200"/>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以多囊卵巢综合征（PCOS）合并亚临床甲状腺功能减退（SCH）患者为研究对象，采用化学发光法测定总睾酮（TT）、游离睾酮（FT）及性激素结合球蛋白（SHBG）并计算游离雄激素指数（FAI），以液相色谱串联质谱法（LC-MS/MS）测定FT作为参考标准，比较不同雄激素指标在高雄激素血症诊断中的效能差异；通过相关性分析、一致性评价及ROC曲线分析，明确化学发光法检测FT、TT及FAI对高雄激素状态的识别能力，评价其替代质谱法检测FT的临床可行性，构建基于化学发光法的PCOS合并SCH患者的高雄激素评估策略。</w:t>
      </w:r>
    </w:p>
    <w:p w14:paraId="35F9833F">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spacing w:val="8"/>
          <w:sz w:val="32"/>
          <w:szCs w:val="32"/>
          <w:lang w:eastAsia="zh-CN"/>
        </w:rPr>
      </w:pPr>
      <w:r>
        <w:rPr>
          <w:rFonts w:hint="eastAsia" w:ascii="仿宋_GB2312" w:hAnsi="仿宋_GB2312" w:eastAsia="仿宋_GB2312" w:cs="仿宋_GB2312"/>
          <w:b/>
          <w:bCs/>
          <w:spacing w:val="8"/>
          <w:sz w:val="32"/>
          <w:szCs w:val="32"/>
          <w:lang w:eastAsia="zh-CN"/>
        </w:rPr>
        <w:t>三、项目考核指标（项目执行期内）</w:t>
      </w:r>
    </w:p>
    <w:p w14:paraId="28E19773">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（一）学术指标：发表学术论文≥1篇。</w:t>
      </w:r>
    </w:p>
    <w:p w14:paraId="62B12FB2">
      <w:pPr>
        <w:pStyle w:val="4"/>
        <w:keepNext w:val="0"/>
        <w:keepLines w:val="0"/>
        <w:pageBreakBefore w:val="0"/>
        <w:wordWrap/>
        <w:overflowPunct/>
        <w:topLinePunct w:val="0"/>
        <w:bidi w:val="0"/>
        <w:spacing w:line="520" w:lineRule="exact"/>
        <w:ind w:right="19" w:firstLine="672" w:firstLineChars="200"/>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20D0EEDF">
      <w:pPr>
        <w:pStyle w:val="4"/>
        <w:keepNext w:val="0"/>
        <w:keepLines w:val="0"/>
        <w:pageBreakBefore w:val="0"/>
        <w:wordWrap/>
        <w:overflowPunct/>
        <w:topLinePunct w:val="0"/>
        <w:bidi w:val="0"/>
        <w:spacing w:line="520" w:lineRule="exact"/>
        <w:ind w:right="19" w:firstLine="672" w:firstLineChars="200"/>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spacing w:val="8"/>
          <w:sz w:val="32"/>
          <w:szCs w:val="32"/>
          <w:lang w:eastAsia="zh-CN"/>
        </w:rPr>
        <w:t>完成</w:t>
      </w:r>
      <w:r>
        <w:rPr>
          <w:rFonts w:hint="eastAsia" w:ascii="仿宋_GB2312" w:hAnsi="仿宋_GB2312" w:eastAsia="仿宋_GB2312" w:cs="仿宋_GB2312"/>
          <w:spacing w:val="8"/>
          <w:sz w:val="32"/>
          <w:szCs w:val="32"/>
          <w:lang w:val="en-US" w:eastAsia="zh-CN"/>
        </w:rPr>
        <w:t>≥</w:t>
      </w:r>
      <w:r>
        <w:rPr>
          <w:rFonts w:hint="eastAsia" w:ascii="仿宋_GB2312" w:hAnsi="仿宋_GB2312" w:eastAsia="仿宋_GB2312" w:cs="仿宋_GB2312"/>
          <w:spacing w:val="8"/>
          <w:sz w:val="32"/>
          <w:szCs w:val="32"/>
          <w:lang w:eastAsia="zh-CN"/>
        </w:rPr>
        <w:t>200例PCOS合并SCH患者及对照人群的雄激素谱检测分析；评估化学发光法检测FT替代LC-MS/MS的应用场景及判定阈值；</w:t>
      </w:r>
    </w:p>
    <w:p w14:paraId="3E57A317">
      <w:pPr>
        <w:pStyle w:val="4"/>
        <w:keepNext w:val="0"/>
        <w:keepLines w:val="0"/>
        <w:pageBreakBefore w:val="0"/>
        <w:wordWrap/>
        <w:overflowPunct/>
        <w:topLinePunct w:val="0"/>
        <w:bidi w:val="0"/>
        <w:spacing w:line="520" w:lineRule="exact"/>
        <w:ind w:right="19" w:firstLine="672" w:firstLineChars="200"/>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val="en-US" w:eastAsia="zh-CN"/>
        </w:rPr>
        <w:t>2.</w:t>
      </w:r>
      <w:r>
        <w:rPr>
          <w:rFonts w:hint="eastAsia" w:ascii="仿宋_GB2312" w:hAnsi="仿宋_GB2312" w:eastAsia="仿宋_GB2312" w:cs="仿宋_GB2312"/>
          <w:spacing w:val="8"/>
          <w:sz w:val="32"/>
          <w:szCs w:val="32"/>
          <w:lang w:eastAsia="zh-CN"/>
        </w:rPr>
        <w:t>建立适用于PCOS合并SCH患者的高雄激素评估流程；</w:t>
      </w:r>
    </w:p>
    <w:p w14:paraId="3D7DB9EE">
      <w:pPr>
        <w:pStyle w:val="4"/>
        <w:keepNext w:val="0"/>
        <w:keepLines w:val="0"/>
        <w:pageBreakBefore w:val="0"/>
        <w:wordWrap/>
        <w:overflowPunct/>
        <w:topLinePunct w:val="0"/>
        <w:bidi w:val="0"/>
        <w:spacing w:line="520" w:lineRule="exact"/>
        <w:ind w:right="19" w:firstLine="672" w:firstLineChars="200"/>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val="en-US" w:eastAsia="zh-CN"/>
        </w:rPr>
        <w:t>3.</w:t>
      </w:r>
      <w:r>
        <w:rPr>
          <w:rFonts w:ascii="仿宋_GB2312" w:hAnsi="仿宋_GB2312" w:eastAsia="仿宋_GB2312" w:cs="仿宋_GB2312"/>
          <w:spacing w:val="8"/>
          <w:sz w:val="32"/>
          <w:szCs w:val="32"/>
          <w:lang w:eastAsia="zh-CN"/>
        </w:rPr>
        <w:t>形成</w:t>
      </w:r>
      <w:r>
        <w:rPr>
          <w:rFonts w:hint="eastAsia" w:ascii="仿宋_GB2312" w:hAnsi="仿宋_GB2312" w:eastAsia="仿宋_GB2312" w:cs="仿宋_GB2312"/>
          <w:spacing w:val="8"/>
          <w:sz w:val="32"/>
          <w:szCs w:val="32"/>
          <w:lang w:val="en-US" w:eastAsia="zh-CN"/>
        </w:rPr>
        <w:t>≥</w:t>
      </w:r>
      <w:r>
        <w:rPr>
          <w:rFonts w:hint="eastAsia" w:ascii="仿宋_GB2312" w:hAnsi="仿宋_GB2312" w:eastAsia="仿宋_GB2312" w:cs="仿宋_GB2312"/>
          <w:spacing w:val="8"/>
          <w:sz w:val="32"/>
          <w:szCs w:val="32"/>
          <w:lang w:eastAsia="zh-CN"/>
        </w:rPr>
        <w:t>1项</w:t>
      </w:r>
      <w:r>
        <w:rPr>
          <w:rFonts w:ascii="仿宋_GB2312" w:hAnsi="仿宋_GB2312" w:eastAsia="仿宋_GB2312" w:cs="仿宋_GB2312"/>
          <w:spacing w:val="8"/>
          <w:sz w:val="32"/>
          <w:szCs w:val="32"/>
          <w:lang w:eastAsia="zh-CN"/>
        </w:rPr>
        <w:t>化学发光法评估高雄激素血症的临床应用方案，为基层实验室替代质谱检测提供循证依据。</w:t>
      </w:r>
    </w:p>
    <w:p w14:paraId="5AFFEB4E">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0D2AA1C1">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五、资助金额：</w:t>
      </w:r>
      <w:r>
        <w:rPr>
          <w:rFonts w:hint="eastAsia" w:ascii="仿宋_GB2312" w:hAnsi="仿宋_GB2312" w:eastAsia="仿宋_GB2312" w:cs="仿宋_GB2312"/>
          <w:spacing w:val="8"/>
          <w:sz w:val="32"/>
          <w:szCs w:val="32"/>
          <w:lang w:eastAsia="zh-CN"/>
        </w:rPr>
        <w:t>不超过8万元</w:t>
      </w:r>
    </w:p>
    <w:p w14:paraId="60DC5758">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635334F">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43554413">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6850859">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FE0EE9E">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66090B4">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FC398CA">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D4B6C58">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E19FF7A">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F308312">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220300A3">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20A07E70">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F5608B3">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7FE7FC39">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6062D29F">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765E196">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07240467">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1385D85">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E6B9D10">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29AE6E6A">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2E4298C7">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7712A15">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6DA3CD9">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6F8214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center"/>
        <w:textAlignment w:val="baseline"/>
        <w:outlineLvl w:val="0"/>
        <w:rPr>
          <w:rFonts w:ascii="宋体" w:hAnsi="宋体" w:eastAsia="宋体" w:cs="宋体"/>
          <w:b/>
          <w:bCs/>
          <w:color w:val="000000"/>
          <w:kern w:val="0"/>
          <w:sz w:val="24"/>
          <w:szCs w:val="24"/>
          <w:lang w:val="en-US" w:eastAsia="zh-CN"/>
        </w:rPr>
      </w:pPr>
      <w:bookmarkStart w:id="7" w:name="_Toc6060"/>
      <w:r>
        <w:rPr>
          <w:rFonts w:hint="eastAsia" w:ascii="方正小标宋简体" w:hAnsi="方正小标宋简体" w:eastAsia="方正小标宋简体" w:cs="方正小标宋简体"/>
          <w:b w:val="0"/>
          <w:bCs w:val="0"/>
          <w:spacing w:val="8"/>
          <w:sz w:val="44"/>
          <w:szCs w:val="44"/>
          <w:lang w:val="en-US" w:eastAsia="zh-CN"/>
        </w:rPr>
        <w:t>面202608008 全自动尿液诱饵细胞检测对肾移植术后BK病毒激活的预警价值临床研究</w:t>
      </w:r>
      <w:bookmarkEnd w:id="7"/>
    </w:p>
    <w:p w14:paraId="653EB9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b/>
          <w:bCs/>
          <w:color w:val="000000"/>
          <w:kern w:val="0"/>
          <w:sz w:val="32"/>
          <w:szCs w:val="32"/>
          <w:lang w:val="en-US" w:eastAsia="zh-CN"/>
        </w:rPr>
      </w:pPr>
    </w:p>
    <w:p w14:paraId="6E19A7F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leftChars="0" w:right="0" w:rightChars="0"/>
        <w:jc w:val="left"/>
        <w:textAlignment w:val="baseline"/>
        <w:outlineLvl w:val="1"/>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000000"/>
          <w:kern w:val="0"/>
          <w:sz w:val="32"/>
          <w:szCs w:val="32"/>
          <w:lang w:val="en-US" w:eastAsia="zh-CN" w:bidi="ar-SA"/>
        </w:rPr>
        <w:t>一、</w:t>
      </w:r>
      <w:r>
        <w:rPr>
          <w:rFonts w:hint="eastAsia" w:ascii="仿宋_GB2312" w:hAnsi="仿宋_GB2312" w:eastAsia="仿宋_GB2312" w:cs="仿宋_GB2312"/>
          <w:color w:val="000000"/>
          <w:sz w:val="32"/>
          <w:szCs w:val="32"/>
        </w:rPr>
        <w:t>领域：</w:t>
      </w:r>
      <w:r>
        <w:rPr>
          <w:rFonts w:hint="eastAsia" w:ascii="仿宋_GB2312" w:hAnsi="仿宋_GB2312" w:eastAsia="仿宋_GB2312" w:cs="仿宋_GB2312"/>
          <w:b w:val="0"/>
          <w:bCs w:val="0"/>
          <w:color w:val="000000"/>
          <w:sz w:val="32"/>
          <w:szCs w:val="32"/>
        </w:rPr>
        <w:t>临床检验</w:t>
      </w:r>
    </w:p>
    <w:p w14:paraId="7AD352C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leftChars="0" w:right="0" w:rightChars="0" w:firstLine="0" w:firstLineChars="0"/>
        <w:jc w:val="left"/>
        <w:textAlignment w:val="baseline"/>
        <w:outlineLvl w:val="1"/>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000000"/>
          <w:kern w:val="0"/>
          <w:sz w:val="32"/>
          <w:szCs w:val="32"/>
          <w:lang w:val="en-US" w:eastAsia="zh-CN" w:bidi="ar-SA"/>
        </w:rPr>
        <w:t>二、</w:t>
      </w:r>
      <w:r>
        <w:rPr>
          <w:rFonts w:hint="eastAsia" w:ascii="仿宋_GB2312" w:hAnsi="仿宋_GB2312" w:eastAsia="仿宋_GB2312" w:cs="仿宋_GB2312"/>
          <w:color w:val="000000"/>
          <w:sz w:val="32"/>
          <w:szCs w:val="32"/>
        </w:rPr>
        <w:t>主要研究内容</w:t>
      </w:r>
    </w:p>
    <w:p w14:paraId="1E5F3C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（一）围绕肾移植术后BK病毒早期筛查临床痛点开展回顾性临床研究，依托医院移植随访、检验数据库现有常规诊疗数据，不额外增加患者标本采集与临床干预；</w:t>
      </w:r>
    </w:p>
    <w:p w14:paraId="357D95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系统对比全自动尿液分析仪量化诱饵细胞检测与传统人工镜检的一致性；以BK病毒核酸qPCR为诊断金标准，评价自动化诱饵细胞指标对肾移植术后BK病毒激活、病毒血症的诊断与早期预警效能，确定最佳诊断临界值；</w:t>
      </w:r>
    </w:p>
    <w:p w14:paraId="7FFE39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（三）结合肾功能、免疫抑制方案等临床指标，建立肾移植受者BK病毒感染简易风险分层筛查方案，形成可常规落地的无创自动化筛查流程。</w:t>
      </w:r>
    </w:p>
    <w:p w14:paraId="3D3C0B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三、项目考核指标（执行期内完成）</w:t>
      </w:r>
    </w:p>
    <w:p w14:paraId="2AB9F9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（一）学术指标</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rPr>
        <w:t>发表学术论文</w:t>
      </w:r>
      <w:r>
        <w:rPr>
          <w:rFonts w:hint="eastAsia" w:ascii="仿宋_GB2312" w:hAnsi="仿宋_GB2312" w:eastAsia="仿宋_GB2312" w:cs="仿宋_GB2312"/>
          <w:b w:val="0"/>
          <w:bCs w:val="0"/>
          <w:snapToGrid w:val="0"/>
          <w:color w:val="000000"/>
          <w:spacing w:val="8"/>
          <w:sz w:val="32"/>
          <w:szCs w:val="32"/>
          <w:lang w:val="en-US" w:eastAsia="zh-CN" w:bidi="ar-SA"/>
        </w:rPr>
        <w:t>≥</w:t>
      </w:r>
      <w:r>
        <w:rPr>
          <w:rFonts w:hint="eastAsia" w:ascii="仿宋_GB2312" w:hAnsi="仿宋_GB2312" w:eastAsia="仿宋_GB2312" w:cs="仿宋_GB2312"/>
          <w:b w:val="0"/>
          <w:bCs w:val="0"/>
          <w:color w:val="000000"/>
          <w:kern w:val="0"/>
          <w:sz w:val="32"/>
          <w:szCs w:val="32"/>
          <w:lang w:val="en-US" w:eastAsia="zh-CN"/>
        </w:rPr>
        <w:t>1篇。</w:t>
      </w:r>
    </w:p>
    <w:p w14:paraId="27625F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（二）技术指标</w:t>
      </w:r>
    </w:p>
    <w:p w14:paraId="44C268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right="0" w:rightChars="0" w:firstLine="640" w:firstLineChars="20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color w:val="000000"/>
          <w:sz w:val="32"/>
          <w:szCs w:val="32"/>
          <w:lang w:val="en-US" w:eastAsia="en-US" w:bidi="ar-SA"/>
        </w:rPr>
        <w:t>1.</w:t>
      </w:r>
      <w:r>
        <w:rPr>
          <w:rFonts w:hint="eastAsia" w:ascii="仿宋_GB2312" w:hAnsi="仿宋_GB2312" w:eastAsia="仿宋_GB2312" w:cs="仿宋_GB2312"/>
          <w:color w:val="000000"/>
          <w:sz w:val="32"/>
          <w:szCs w:val="32"/>
        </w:rPr>
        <w:t>明确全自动尿液分析仪诱饵细胞指标诊断BK病毒激活的临床效能及最佳临界值；</w:t>
      </w:r>
    </w:p>
    <w:p w14:paraId="56BE52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right="0" w:rightChars="0" w:firstLine="640" w:firstLineChars="200"/>
        <w:jc w:val="left"/>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napToGrid w:val="0"/>
          <w:color w:val="000000"/>
          <w:sz w:val="32"/>
          <w:szCs w:val="32"/>
          <w:lang w:val="en-US" w:eastAsia="en-US" w:bidi="ar-SA"/>
        </w:rPr>
        <w:t>2.</w:t>
      </w:r>
      <w:r>
        <w:rPr>
          <w:rFonts w:hint="eastAsia" w:ascii="仿宋_GB2312" w:hAnsi="仿宋_GB2312" w:eastAsia="仿宋_GB2312" w:cs="仿宋_GB2312"/>
          <w:color w:val="000000"/>
          <w:sz w:val="32"/>
          <w:szCs w:val="32"/>
        </w:rPr>
        <w:t>建立适配肾移植随访的BK病毒自动化无创筛查操作方案，完成与传统人工镜检方法学对比评估</w:t>
      </w:r>
      <w:r>
        <w:rPr>
          <w:rFonts w:hint="eastAsia" w:ascii="仿宋_GB2312" w:hAnsi="仿宋_GB2312" w:eastAsia="仿宋_GB2312" w:cs="仿宋_GB2312"/>
          <w:color w:val="000000"/>
          <w:sz w:val="32"/>
          <w:szCs w:val="32"/>
          <w:lang w:eastAsia="zh-CN"/>
        </w:rPr>
        <w:t>；</w:t>
      </w:r>
    </w:p>
    <w:p w14:paraId="0B088A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right="0" w:rightChars="0" w:firstLine="640" w:firstLineChars="200"/>
        <w:jc w:val="left"/>
        <w:textAlignment w:val="baseline"/>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3.基于以上研究，</w:t>
      </w:r>
      <w:r>
        <w:rPr>
          <w:rFonts w:hint="eastAsia" w:ascii="仿宋_GB2312" w:hAnsi="仿宋_GB2312" w:eastAsia="仿宋_GB2312" w:cs="仿宋_GB2312"/>
          <w:b w:val="0"/>
          <w:bCs w:val="0"/>
          <w:color w:val="000000"/>
          <w:kern w:val="0"/>
          <w:sz w:val="32"/>
          <w:szCs w:val="32"/>
          <w:lang w:val="en-US" w:eastAsia="zh-CN"/>
        </w:rPr>
        <w:t>形成完整临床研究报告</w:t>
      </w:r>
      <w:r>
        <w:rPr>
          <w:rFonts w:hint="eastAsia" w:ascii="仿宋_GB2312" w:hAnsi="仿宋_GB2312" w:eastAsia="仿宋_GB2312" w:cs="仿宋_GB2312"/>
          <w:snapToGrid w:val="0"/>
          <w:color w:val="000000"/>
          <w:spacing w:val="8"/>
          <w:sz w:val="32"/>
          <w:szCs w:val="32"/>
          <w:lang w:val="en-US" w:eastAsia="zh-CN" w:bidi="ar-SA"/>
        </w:rPr>
        <w:t>≥</w:t>
      </w:r>
      <w:r>
        <w:rPr>
          <w:rFonts w:hint="eastAsia" w:ascii="仿宋_GB2312" w:hAnsi="仿宋_GB2312" w:eastAsia="仿宋_GB2312" w:cs="仿宋_GB2312"/>
          <w:b w:val="0"/>
          <w:bCs w:val="0"/>
          <w:color w:val="000000"/>
          <w:kern w:val="0"/>
          <w:sz w:val="32"/>
          <w:szCs w:val="32"/>
          <w:lang w:val="en-US" w:eastAsia="zh-CN"/>
        </w:rPr>
        <w:t>1份。</w:t>
      </w:r>
    </w:p>
    <w:p w14:paraId="3E0C0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四、项目实施年限</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rPr>
        <w:t>不超过2年</w:t>
      </w:r>
    </w:p>
    <w:p w14:paraId="18C1A3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sz w:val="32"/>
          <w:szCs w:val="32"/>
        </w:rPr>
        <w:t>五、资助金额</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rPr>
        <w:t>不超过8万元</w:t>
      </w:r>
    </w:p>
    <w:p w14:paraId="1A8CAF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kern w:val="0"/>
          <w:sz w:val="32"/>
          <w:szCs w:val="32"/>
          <w:lang w:val="en-US" w:eastAsia="zh-CN"/>
        </w:rPr>
      </w:pPr>
    </w:p>
    <w:p w14:paraId="130E76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kern w:val="0"/>
          <w:sz w:val="32"/>
          <w:szCs w:val="32"/>
          <w:lang w:val="en-US" w:eastAsia="zh-CN"/>
        </w:rPr>
      </w:pPr>
    </w:p>
    <w:p w14:paraId="3E57A5EA">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20223D5">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632C30E6">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1EC94DEB">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1145D11E">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3901C320">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798439F6">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427DCEA8">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3AE96BA1">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04E1E290">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6C10E31F">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3545DFB2">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2F7E4AAE">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2F60E933">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63DB8DE2">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1B1CEFB0">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049D14F8">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0382E3B0">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47A91ECC">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680BEC2A">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01622A31">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pacing w:val="8"/>
          <w:sz w:val="44"/>
          <w:szCs w:val="44"/>
          <w:lang w:eastAsia="zh-CN"/>
        </w:rPr>
      </w:pPr>
    </w:p>
    <w:p w14:paraId="4BA16139">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z w:val="44"/>
          <w:szCs w:val="44"/>
          <w:lang w:eastAsia="zh-CN"/>
        </w:rPr>
      </w:pPr>
      <w:bookmarkStart w:id="8" w:name="_Toc6144"/>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 xml:space="preserve">8009 </w:t>
      </w:r>
      <w:r>
        <w:rPr>
          <w:rFonts w:hint="eastAsia" w:ascii="方正小标宋简体" w:hAnsi="方正小标宋简体" w:eastAsia="方正小标宋简体" w:cs="方正小标宋简体"/>
          <w:b w:val="0"/>
          <w:bCs w:val="0"/>
          <w:sz w:val="44"/>
          <w:szCs w:val="44"/>
          <w:lang w:eastAsia="zh-CN"/>
        </w:rPr>
        <w:t>肺癌新辅助免疫治疗应答异质性的空间表型分子机制研究</w:t>
      </w:r>
      <w:bookmarkEnd w:id="8"/>
    </w:p>
    <w:p w14:paraId="49DFBA0A">
      <w:pPr>
        <w:keepNext w:val="0"/>
        <w:keepLines w:val="0"/>
        <w:pageBreakBefore w:val="0"/>
        <w:wordWrap/>
        <w:overflowPunct/>
        <w:topLinePunct w:val="0"/>
        <w:bidi w:val="0"/>
        <w:spacing w:line="520" w:lineRule="exact"/>
        <w:jc w:val="both"/>
        <w:rPr>
          <w:rFonts w:hint="eastAsia" w:ascii="方正小标宋简体" w:hAnsi="方正小标宋简体" w:eastAsia="方正小标宋简体" w:cs="方正小标宋简体"/>
          <w:b/>
          <w:bCs/>
          <w:sz w:val="44"/>
          <w:szCs w:val="44"/>
          <w:lang w:eastAsia="zh-CN"/>
        </w:rPr>
      </w:pPr>
    </w:p>
    <w:p w14:paraId="460AD469">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一、领域：</w:t>
      </w:r>
      <w:r>
        <w:rPr>
          <w:rFonts w:hint="eastAsia" w:ascii="仿宋_GB2312" w:hAnsi="仿宋_GB2312" w:eastAsia="仿宋_GB2312" w:cs="仿宋_GB2312"/>
          <w:snapToGrid w:val="0"/>
          <w:color w:val="000000"/>
          <w:spacing w:val="8"/>
          <w:sz w:val="32"/>
          <w:szCs w:val="32"/>
          <w:lang w:val="en-US" w:eastAsia="zh-CN" w:bidi="ar-SA"/>
        </w:rPr>
        <w:t> 肿瘤免疫学与胸部肿瘤精准治疗</w:t>
      </w:r>
    </w:p>
    <w:p w14:paraId="7FE29E4E">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二、主要研究内容</w:t>
      </w:r>
      <w:r>
        <w:rPr>
          <w:rFonts w:hint="eastAsia" w:ascii="仿宋_GB2312" w:hAnsi="仿宋_GB2312" w:eastAsia="仿宋_GB2312" w:cs="仿宋_GB2312"/>
          <w:snapToGrid w:val="0"/>
          <w:color w:val="000000"/>
          <w:spacing w:val="8"/>
          <w:sz w:val="32"/>
          <w:szCs w:val="32"/>
          <w:lang w:val="en-US" w:eastAsia="zh-CN" w:bidi="ar-SA"/>
        </w:rPr>
        <w:br w:type="textWrapping"/>
      </w:r>
      <w:r>
        <w:rPr>
          <w:rFonts w:hint="eastAsia" w:ascii="仿宋_GB2312" w:hAnsi="仿宋_GB2312" w:eastAsia="仿宋_GB2312" w:cs="仿宋_GB2312"/>
          <w:snapToGrid w:val="0"/>
          <w:color w:val="000000"/>
          <w:spacing w:val="8"/>
          <w:sz w:val="32"/>
          <w:szCs w:val="32"/>
          <w:lang w:val="en-US" w:eastAsia="zh-CN" w:bidi="ar-SA"/>
        </w:rPr>
        <w:t xml:space="preserve">    （一）以前瞻性队列研究纳入术前接受PD-1/PD-L1单抗联合含铂双药化疗的非小细胞肺癌（NSCLC）患者60例，系统采集手术切除肿瘤组织及围手术期外周血样本。采用多重免疫荧光技术，描绘肿瘤微环境中CD8+ T细胞、PD-L1表达细胞及FoxP3+调节性T细胞（Treg）的空间分布特征；结合全外显子测序评估肿瘤突变负荷（TMB），并通过动态ctDNA监测追踪突变演化轨迹；</w:t>
      </w:r>
    </w:p>
    <w:p w14:paraId="6473F067">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二）进一步整合空间转录组测序与单细胞测序，深入解析“免疫豁免型”（immune-excluded）和“免疫荒漠型”（immune-desert）等空间表型的分子调控网络，揭示驱动新辅助免疫治疗应答异质性的关键细胞亚群、信号通路及微环境互作模式；</w:t>
      </w:r>
    </w:p>
    <w:p w14:paraId="7D459FAF">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（三）系统阐明上述空间表型与临床疗效、病理缓解程度及预后之间的关联，为筛选免疫治疗优势人群和开发联合治疗新策略提供理论依据。</w:t>
      </w:r>
    </w:p>
    <w:p w14:paraId="3BA5A99C">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675" w:right="0" w:hanging="675" w:hangingChars="200"/>
        <w:rPr>
          <w:rFonts w:hint="eastAsia" w:ascii="仿宋_GB2312" w:hAnsi="仿宋_GB2312" w:eastAsia="仿宋_GB2312" w:cs="仿宋_GB2312"/>
          <w:b/>
          <w:bCs/>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三、项目考核指标（项目执行期内）</w:t>
      </w:r>
    </w:p>
    <w:p w14:paraId="35B1F5B4">
      <w:pPr>
        <w:pStyle w:val="8"/>
        <w:keepNext w:val="0"/>
        <w:keepLines w:val="0"/>
        <w:pageBreakBefore w:val="0"/>
        <w:widowControl/>
        <w:suppressLineNumbers w:val="0"/>
        <w:shd w:val="clear" w:fill="FFFFFF"/>
        <w:wordWrap/>
        <w:overflowPunct/>
        <w:topLinePunct w:val="0"/>
        <w:bidi w:val="0"/>
        <w:spacing w:beforeAutospacing="0" w:afterAutospacing="0" w:line="520" w:lineRule="exact"/>
        <w:ind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（一）学术指标：发表学术论文≥1篇。</w:t>
      </w:r>
    </w:p>
    <w:p w14:paraId="30025C37">
      <w:pPr>
        <w:pStyle w:val="8"/>
        <w:keepNext w:val="0"/>
        <w:keepLines w:val="0"/>
        <w:pageBreakBefore w:val="0"/>
        <w:widowControl/>
        <w:suppressLineNumbers w:val="0"/>
        <w:shd w:val="clear" w:fill="FFFFFF"/>
        <w:wordWrap/>
        <w:overflowPunct/>
        <w:topLinePunct w:val="0"/>
        <w:bidi w:val="0"/>
        <w:spacing w:beforeAutospacing="0" w:afterAutospacing="0" w:line="520" w:lineRule="exact"/>
        <w:ind w:right="0"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二）技术指标：完成≥60例NSCLC新辅助治疗队列的肿瘤组织多重免疫荧光（CD8、PD-L1、FoxP3）空间分布分析；完成全外显子测序及TMB计算，实现围手术期动态ctDNA突变监测；完成≥6例代表性样本的空间转录组测序和单细胞测序，构建免疫豁免型和免疫荒漠型空间表型的分子特征图谱；明确不同空间表型与病理缓解率、无事件生存期等临床终点的相关性；形成≥1份项目结题分析报告。</w:t>
      </w:r>
    </w:p>
    <w:p w14:paraId="5C346D90">
      <w:pPr>
        <w:pStyle w:val="8"/>
        <w:keepNext w:val="0"/>
        <w:keepLines w:val="0"/>
        <w:pageBreakBefore w:val="0"/>
        <w:widowControl/>
        <w:suppressLineNumbers w:val="0"/>
        <w:shd w:val="clear" w:fill="FFFFFF"/>
        <w:wordWrap/>
        <w:overflowPunct/>
        <w:topLinePunct w:val="0"/>
        <w:bidi w:val="0"/>
        <w:spacing w:beforeAutospacing="0" w:afterAutospacing="0" w:line="520" w:lineRule="exact"/>
        <w:ind w:left="0" w:right="0" w:firstLine="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四、项目实施年限：</w:t>
      </w:r>
      <w:r>
        <w:rPr>
          <w:rFonts w:hint="eastAsia" w:ascii="仿宋_GB2312" w:hAnsi="仿宋_GB2312" w:eastAsia="仿宋_GB2312" w:cs="仿宋_GB2312"/>
          <w:snapToGrid w:val="0"/>
          <w:color w:val="000000"/>
          <w:spacing w:val="8"/>
          <w:sz w:val="32"/>
          <w:szCs w:val="32"/>
          <w:lang w:val="en-US" w:eastAsia="zh-CN" w:bidi="ar-SA"/>
        </w:rPr>
        <w:t>不超过2年</w:t>
      </w:r>
    </w:p>
    <w:p w14:paraId="31C66DBB">
      <w:pPr>
        <w:keepNext w:val="0"/>
        <w:keepLines w:val="0"/>
        <w:pageBreakBefore w:val="0"/>
        <w:wordWrap/>
        <w:overflowPunct/>
        <w:topLinePunct w:val="0"/>
        <w:bidi w:val="0"/>
        <w:spacing w:line="520" w:lineRule="exact"/>
        <w:rPr>
          <w:rFonts w:hint="default"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五、资助金额：</w:t>
      </w:r>
      <w:r>
        <w:rPr>
          <w:rFonts w:hint="eastAsia" w:ascii="仿宋_GB2312" w:hAnsi="仿宋_GB2312" w:eastAsia="仿宋_GB2312" w:cs="仿宋_GB2312"/>
          <w:snapToGrid w:val="0"/>
          <w:color w:val="000000"/>
          <w:spacing w:val="8"/>
          <w:sz w:val="32"/>
          <w:szCs w:val="32"/>
          <w:lang w:val="en-US" w:eastAsia="zh-CN" w:bidi="ar-SA"/>
        </w:rPr>
        <w:t>不超过10万元</w:t>
      </w:r>
    </w:p>
    <w:p w14:paraId="7BB60DF2">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1C8F130">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B5CF113">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FD62B85">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5DF235A">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3124457">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589A7761">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1741C3F7">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BBA4863">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6F082BF">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FF7653F">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DCB9FBA">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C8066A2">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E90E292">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7B64E4E">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5A3758E0">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539030D2">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07313E3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0BD465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087C027C">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528C222D">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b w:val="0"/>
          <w:bCs w:val="0"/>
          <w:spacing w:val="8"/>
          <w:sz w:val="44"/>
          <w:szCs w:val="44"/>
          <w:lang w:eastAsia="zh-CN"/>
        </w:rPr>
      </w:pPr>
      <w:bookmarkStart w:id="9" w:name="_Toc31573"/>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8010</w:t>
      </w:r>
      <w:r>
        <w:rPr>
          <w:rFonts w:hint="eastAsia" w:ascii="方正小标宋简体" w:hAnsi="方正小标宋简体" w:eastAsia="方正小标宋简体" w:cs="方正小标宋简体"/>
          <w:b w:val="0"/>
          <w:bCs w:val="0"/>
          <w:spacing w:val="8"/>
          <w:sz w:val="44"/>
          <w:szCs w:val="44"/>
          <w:lang w:eastAsia="zh-CN"/>
        </w:rPr>
        <w:t xml:space="preserve"> 基于大语言模型的血细胞分析智能体构建与验证多中心研究</w:t>
      </w:r>
      <w:bookmarkEnd w:id="9"/>
    </w:p>
    <w:p w14:paraId="6609F1B0">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6226C2C1">
      <w:pPr>
        <w:pStyle w:val="4"/>
        <w:keepNext w:val="0"/>
        <w:keepLines w:val="0"/>
        <w:pageBreakBefore w:val="0"/>
        <w:numPr>
          <w:ilvl w:val="0"/>
          <w:numId w:val="1"/>
        </w:numPr>
        <w:wordWrap/>
        <w:overflowPunct/>
        <w:topLinePunct w:val="0"/>
        <w:bidi w:val="0"/>
        <w:spacing w:line="520" w:lineRule="exact"/>
        <w:ind w:right="19"/>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领域：</w:t>
      </w:r>
      <w:r>
        <w:rPr>
          <w:rFonts w:hint="eastAsia" w:ascii="仿宋_GB2312" w:hAnsi="仿宋_GB2312" w:eastAsia="仿宋_GB2312" w:cs="仿宋_GB2312"/>
          <w:spacing w:val="8"/>
          <w:sz w:val="32"/>
          <w:szCs w:val="32"/>
          <w:lang w:eastAsia="zh-CN"/>
        </w:rPr>
        <w:t>大语言模型、血细胞分析</w:t>
      </w:r>
    </w:p>
    <w:p w14:paraId="11C6E795">
      <w:pPr>
        <w:pStyle w:val="4"/>
        <w:keepNext w:val="0"/>
        <w:keepLines w:val="0"/>
        <w:pageBreakBefore w:val="0"/>
        <w:numPr>
          <w:ilvl w:val="0"/>
          <w:numId w:val="1"/>
        </w:numPr>
        <w:wordWrap/>
        <w:overflowPunct/>
        <w:topLinePunct w:val="0"/>
        <w:bidi w:val="0"/>
        <w:spacing w:line="520" w:lineRule="exact"/>
        <w:ind w:right="19"/>
        <w:jc w:val="both"/>
        <w:rPr>
          <w:rFonts w:ascii="仿宋_GB2312" w:hAnsi="仿宋_GB2312" w:eastAsia="仿宋_GB2312" w:cs="仿宋_GB2312"/>
          <w:b/>
          <w:bCs/>
          <w:spacing w:val="8"/>
          <w:sz w:val="32"/>
          <w:szCs w:val="32"/>
          <w:lang w:eastAsia="zh-CN"/>
        </w:rPr>
      </w:pPr>
      <w:r>
        <w:rPr>
          <w:rFonts w:hint="eastAsia" w:ascii="仿宋_GB2312" w:hAnsi="仿宋_GB2312" w:eastAsia="仿宋_GB2312" w:cs="仿宋_GB2312"/>
          <w:b/>
          <w:bCs/>
          <w:spacing w:val="8"/>
          <w:sz w:val="32"/>
          <w:szCs w:val="32"/>
          <w:lang w:eastAsia="zh-CN"/>
        </w:rPr>
        <w:t>主要研究内容</w:t>
      </w:r>
    </w:p>
    <w:p w14:paraId="512BB592">
      <w:pPr>
        <w:pStyle w:val="4"/>
        <w:keepNext w:val="0"/>
        <w:keepLines w:val="0"/>
        <w:pageBreakBefore w:val="0"/>
        <w:numPr>
          <w:ilvl w:val="0"/>
          <w:numId w:val="2"/>
        </w:numPr>
        <w:wordWrap/>
        <w:overflowPunct/>
        <w:topLinePunct w:val="0"/>
        <w:bidi w:val="0"/>
        <w:spacing w:line="520" w:lineRule="exact"/>
        <w:ind w:right="19"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推动血细胞分析领域的智能化创新发展，破解检验医生在复杂病例审核、报告智能解读中面临的专业门槛高、效率有待提升等核心问题，拟开展基于大语言模型的血细胞分析智能体构建与验证多中心研究；</w:t>
      </w:r>
    </w:p>
    <w:p w14:paraId="414CDF89">
      <w:pPr>
        <w:pStyle w:val="4"/>
        <w:keepNext w:val="0"/>
        <w:keepLines w:val="0"/>
        <w:pageBreakBefore w:val="0"/>
        <w:numPr>
          <w:ilvl w:val="0"/>
          <w:numId w:val="2"/>
        </w:numPr>
        <w:wordWrap/>
        <w:overflowPunct/>
        <w:topLinePunct w:val="0"/>
        <w:bidi w:val="0"/>
        <w:spacing w:line="520" w:lineRule="exact"/>
        <w:ind w:right="19"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通过本次多中心研究将构建血细胞分析智能审核及报告解读模型，并验证其在血细胞分析审核决策与报告生成中的有效性与安全性。</w:t>
      </w:r>
    </w:p>
    <w:p w14:paraId="3CD3A955">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b/>
          <w:bCs/>
          <w:spacing w:val="8"/>
          <w:sz w:val="32"/>
          <w:szCs w:val="32"/>
          <w:lang w:eastAsia="zh-CN"/>
        </w:rPr>
      </w:pPr>
      <w:r>
        <w:rPr>
          <w:rFonts w:hint="eastAsia" w:ascii="仿宋_GB2312" w:hAnsi="仿宋_GB2312" w:eastAsia="仿宋_GB2312" w:cs="仿宋_GB2312"/>
          <w:b/>
          <w:bCs/>
          <w:spacing w:val="8"/>
          <w:sz w:val="32"/>
          <w:szCs w:val="32"/>
          <w:lang w:eastAsia="zh-CN"/>
        </w:rPr>
        <w:t>三、项目考核指标（项目执行期内）</w:t>
      </w:r>
    </w:p>
    <w:p w14:paraId="6D9789F8">
      <w:pPr>
        <w:pStyle w:val="4"/>
        <w:keepNext w:val="0"/>
        <w:keepLines w:val="0"/>
        <w:pageBreakBefore w:val="0"/>
        <w:wordWrap/>
        <w:overflowPunct/>
        <w:topLinePunct w:val="0"/>
        <w:bidi w:val="0"/>
        <w:spacing w:line="520" w:lineRule="exact"/>
        <w:ind w:right="19" w:firstLine="672" w:firstLineChars="200"/>
        <w:jc w:val="both"/>
        <w:rPr>
          <w:rFonts w:hint="default" w:ascii="仿宋_GB2312" w:hAnsi="仿宋_GB2312" w:eastAsia="仿宋_GB2312" w:cs="仿宋_GB2312"/>
          <w:spacing w:val="8"/>
          <w:sz w:val="32"/>
          <w:szCs w:val="32"/>
          <w:lang w:val="en-US" w:eastAsia="zh-CN"/>
        </w:rPr>
      </w:pPr>
      <w:r>
        <w:rPr>
          <w:rFonts w:hint="eastAsia" w:ascii="仿宋_GB2312" w:hAnsi="仿宋_GB2312" w:eastAsia="仿宋_GB2312" w:cs="仿宋_GB2312"/>
          <w:spacing w:val="8"/>
          <w:sz w:val="32"/>
          <w:szCs w:val="32"/>
          <w:lang w:eastAsia="zh-CN"/>
        </w:rPr>
        <w:t>（一）学术指标：共同发表</w:t>
      </w:r>
      <w:r>
        <w:rPr>
          <w:rFonts w:hint="eastAsia" w:ascii="仿宋_GB2312" w:hAnsi="仿宋_GB2312" w:eastAsia="仿宋_GB2312" w:cs="仿宋_GB2312"/>
          <w:spacing w:val="8"/>
          <w:sz w:val="32"/>
          <w:szCs w:val="32"/>
          <w:lang w:val="en-US" w:eastAsia="zh-CN"/>
        </w:rPr>
        <w:t>学术</w:t>
      </w:r>
      <w:r>
        <w:rPr>
          <w:rFonts w:hint="eastAsia" w:ascii="仿宋_GB2312" w:hAnsi="仿宋_GB2312" w:eastAsia="仿宋_GB2312" w:cs="仿宋_GB2312"/>
          <w:spacing w:val="8"/>
          <w:sz w:val="32"/>
          <w:szCs w:val="32"/>
          <w:lang w:eastAsia="zh-CN"/>
        </w:rPr>
        <w:t>论文≥1篇。</w:t>
      </w:r>
    </w:p>
    <w:p w14:paraId="4074C0D5">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684BAD75">
      <w:pPr>
        <w:pStyle w:val="4"/>
        <w:keepNext w:val="0"/>
        <w:keepLines w:val="0"/>
        <w:pageBreakBefore w:val="0"/>
        <w:wordWrap/>
        <w:overflowPunct/>
        <w:topLinePunct w:val="0"/>
        <w:bidi w:val="0"/>
        <w:spacing w:line="520" w:lineRule="exact"/>
        <w:ind w:right="19" w:firstLine="672" w:firstLineChars="20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通过本次多中心研究将构建与验证血细胞分析智能审核及报告解读模型，并落地应用在血细胞分析的检验流程中，实现人工审核工作量大大降低，智能报告解读达到与中级检验专家相当的报告质量，改善报告的一致性与生成效率，</w:t>
      </w:r>
      <w:r>
        <w:rPr>
          <w:rFonts w:hint="eastAsia" w:ascii="仿宋_GB2312" w:hAnsi="仿宋_GB2312" w:eastAsia="仿宋_GB2312" w:cs="仿宋_GB2312"/>
          <w:bCs/>
          <w:spacing w:val="8"/>
          <w:sz w:val="32"/>
          <w:szCs w:val="32"/>
          <w:lang w:eastAsia="zh-CN"/>
        </w:rPr>
        <w:t>并形成≥1份项目结题分析报告。</w:t>
      </w:r>
    </w:p>
    <w:p w14:paraId="0B634A31">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11813BB4">
      <w:pPr>
        <w:pStyle w:val="4"/>
        <w:keepNext w:val="0"/>
        <w:keepLines w:val="0"/>
        <w:pageBreakBefore w:val="0"/>
        <w:wordWrap/>
        <w:overflowPunct/>
        <w:topLinePunct w:val="0"/>
        <w:bidi w:val="0"/>
        <w:spacing w:line="520" w:lineRule="exact"/>
        <w:ind w:right="19"/>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五、资助金额：</w:t>
      </w:r>
      <w:r>
        <w:rPr>
          <w:rFonts w:hint="eastAsia" w:ascii="仿宋_GB2312" w:hAnsi="仿宋_GB2312" w:eastAsia="仿宋_GB2312" w:cs="仿宋_GB2312"/>
          <w:spacing w:val="8"/>
          <w:sz w:val="32"/>
          <w:szCs w:val="32"/>
          <w:lang w:eastAsia="zh-CN"/>
        </w:rPr>
        <w:t>多中心研究，每家单位不超过</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lang w:eastAsia="zh-CN"/>
        </w:rPr>
        <w:t>万元</w:t>
      </w:r>
    </w:p>
    <w:p w14:paraId="52AB371C">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ascii="仿宋_GB2312" w:hAnsi="仿宋_GB2312" w:eastAsia="仿宋_GB2312" w:cs="仿宋_GB2312"/>
          <w:sz w:val="32"/>
          <w:szCs w:val="32"/>
          <w:lang w:eastAsia="zh-CN"/>
        </w:rPr>
      </w:pPr>
    </w:p>
    <w:p w14:paraId="4A71B8A6">
      <w:pPr>
        <w:keepNext w:val="0"/>
        <w:keepLines w:val="0"/>
        <w:pageBreakBefore w:val="0"/>
        <w:wordWrap/>
        <w:overflowPunct/>
        <w:topLinePunct w:val="0"/>
        <w:bidi w:val="0"/>
        <w:spacing w:line="520" w:lineRule="exact"/>
      </w:pPr>
    </w:p>
    <w:p w14:paraId="1F039A96">
      <w:pPr>
        <w:keepNext w:val="0"/>
        <w:keepLines w:val="0"/>
        <w:pageBreakBefore w:val="0"/>
        <w:wordWrap/>
        <w:overflowPunct/>
        <w:topLinePunct w:val="0"/>
        <w:bidi w:val="0"/>
        <w:spacing w:line="520" w:lineRule="exact"/>
      </w:pPr>
    </w:p>
    <w:p w14:paraId="39195B51">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b w:val="0"/>
          <w:bCs w:val="0"/>
          <w:spacing w:val="8"/>
          <w:sz w:val="44"/>
          <w:szCs w:val="44"/>
          <w:lang w:eastAsia="zh-CN"/>
        </w:rPr>
      </w:pPr>
      <w:bookmarkStart w:id="10" w:name="_Toc2322"/>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8011</w:t>
      </w:r>
      <w:r>
        <w:rPr>
          <w:rFonts w:hint="eastAsia" w:ascii="方正小标宋简体" w:hAnsi="方正小标宋简体" w:eastAsia="方正小标宋简体" w:cs="方正小标宋简体"/>
          <w:b w:val="0"/>
          <w:bCs w:val="0"/>
          <w:spacing w:val="8"/>
          <w:sz w:val="44"/>
          <w:szCs w:val="44"/>
          <w:lang w:eastAsia="zh-CN"/>
        </w:rPr>
        <w:t xml:space="preserve"> 高通量核酸快检系统在儿童门急诊应用规范化多中心研究</w:t>
      </w:r>
      <w:bookmarkEnd w:id="10"/>
    </w:p>
    <w:p w14:paraId="3289BEB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1CD10CA4">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spacing w:val="8"/>
          <w:sz w:val="32"/>
          <w:szCs w:val="32"/>
          <w:lang w:eastAsia="zh-CN"/>
        </w:rPr>
        <w:t>一、领域：</w:t>
      </w:r>
      <w:r>
        <w:rPr>
          <w:rFonts w:hint="eastAsia" w:ascii="仿宋_GB2312" w:hAnsi="仿宋_GB2312" w:eastAsia="仿宋_GB2312" w:cs="仿宋_GB2312"/>
          <w:spacing w:val="8"/>
          <w:sz w:val="32"/>
          <w:szCs w:val="32"/>
          <w:lang w:eastAsia="zh-CN"/>
        </w:rPr>
        <w:t>分子快检</w:t>
      </w:r>
    </w:p>
    <w:p w14:paraId="1ADEBDBB">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spacing w:val="8"/>
          <w:sz w:val="32"/>
          <w:szCs w:val="32"/>
          <w:lang w:eastAsia="zh-CN"/>
        </w:rPr>
      </w:pPr>
      <w:r>
        <w:rPr>
          <w:rFonts w:hint="eastAsia" w:ascii="仿宋_GB2312" w:hAnsi="仿宋_GB2312" w:eastAsia="仿宋_GB2312" w:cs="仿宋_GB2312"/>
          <w:b/>
          <w:spacing w:val="8"/>
          <w:sz w:val="32"/>
          <w:szCs w:val="32"/>
          <w:lang w:eastAsia="zh-CN"/>
        </w:rPr>
        <w:t>二、主要研究内容</w:t>
      </w:r>
    </w:p>
    <w:p w14:paraId="563169FF">
      <w:pPr>
        <w:keepNext w:val="0"/>
        <w:keepLines w:val="0"/>
        <w:pageBreakBefore w:val="0"/>
        <w:kinsoku/>
        <w:wordWrap/>
        <w:overflowPunct/>
        <w:topLinePunct w:val="0"/>
        <w:autoSpaceDE/>
        <w:autoSpaceDN/>
        <w:bidi w:val="0"/>
        <w:adjustRightInd/>
        <w:snapToGrid/>
        <w:spacing w:line="520" w:lineRule="exact"/>
        <w:ind w:firstLine="672" w:firstLineChars="200"/>
        <w:jc w:val="both"/>
        <w:textAlignment w:val="auto"/>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一</w:t>
      </w:r>
      <w:r>
        <w:rPr>
          <w:rFonts w:hint="eastAsia" w:ascii="仿宋_GB2312" w:hAnsi="仿宋_GB2312" w:eastAsia="仿宋_GB2312" w:cs="仿宋_GB2312"/>
          <w:spacing w:val="8"/>
          <w:sz w:val="32"/>
          <w:szCs w:val="32"/>
          <w:lang w:eastAsia="zh-CN"/>
        </w:rPr>
        <w:t>）建立一套适用于儿童门急诊的全面高通量核酸快检系统评估体系，该体系能够从分析性能、临床性能、防污染、检测效率、易用性等多个维度来定义高通量核酸快检系统，从而指导各个厂家能够开发出高性能、高效、安全的高通量核酸检测系统；</w:t>
      </w:r>
    </w:p>
    <w:p w14:paraId="6E2173B7">
      <w:pPr>
        <w:keepNext w:val="0"/>
        <w:keepLines w:val="0"/>
        <w:pageBreakBefore w:val="0"/>
        <w:kinsoku/>
        <w:wordWrap/>
        <w:overflowPunct/>
        <w:topLinePunct w:val="0"/>
        <w:autoSpaceDE/>
        <w:autoSpaceDN/>
        <w:bidi w:val="0"/>
        <w:adjustRightInd/>
        <w:snapToGrid/>
        <w:spacing w:line="520" w:lineRule="exact"/>
        <w:ind w:firstLine="672" w:firstLineChars="200"/>
        <w:jc w:val="both"/>
        <w:textAlignment w:val="auto"/>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二</w:t>
      </w:r>
      <w:r>
        <w:rPr>
          <w:rFonts w:hint="eastAsia" w:ascii="仿宋_GB2312" w:hAnsi="仿宋_GB2312" w:eastAsia="仿宋_GB2312" w:cs="仿宋_GB2312"/>
          <w:spacing w:val="8"/>
          <w:sz w:val="32"/>
          <w:szCs w:val="32"/>
          <w:lang w:eastAsia="zh-CN"/>
        </w:rPr>
        <w:t>）建立一套医院端的验证体系，为医院选择合适的高通量核酸检测系统提供指导依据。基于上述建立的体系对高通量核酸检测系统进行评价。</w:t>
      </w:r>
    </w:p>
    <w:p w14:paraId="146129F2">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spacing w:val="8"/>
          <w:sz w:val="32"/>
          <w:szCs w:val="32"/>
          <w:lang w:eastAsia="zh-CN"/>
        </w:rPr>
      </w:pPr>
      <w:r>
        <w:rPr>
          <w:rFonts w:hint="eastAsia" w:ascii="仿宋_GB2312" w:hAnsi="仿宋_GB2312" w:eastAsia="仿宋_GB2312" w:cs="仿宋_GB2312"/>
          <w:b/>
          <w:spacing w:val="8"/>
          <w:sz w:val="32"/>
          <w:szCs w:val="32"/>
          <w:lang w:eastAsia="zh-CN"/>
        </w:rPr>
        <w:t>三、项目考核指标（项目执行期内）</w:t>
      </w:r>
    </w:p>
    <w:p w14:paraId="14206E5D">
      <w:pPr>
        <w:keepNext w:val="0"/>
        <w:keepLines w:val="0"/>
        <w:pageBreakBefore w:val="0"/>
        <w:kinsoku/>
        <w:wordWrap/>
        <w:overflowPunct/>
        <w:topLinePunct w:val="0"/>
        <w:autoSpaceDE/>
        <w:autoSpaceDN/>
        <w:bidi w:val="0"/>
        <w:adjustRightInd/>
        <w:snapToGrid/>
        <w:spacing w:line="520" w:lineRule="exact"/>
        <w:ind w:firstLine="672" w:firstLineChars="200"/>
        <w:jc w:val="both"/>
        <w:textAlignment w:val="auto"/>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（一）学术指标：共同发表</w:t>
      </w:r>
      <w:r>
        <w:rPr>
          <w:rFonts w:hint="eastAsia" w:ascii="仿宋_GB2312" w:hAnsi="仿宋_GB2312" w:eastAsia="仿宋_GB2312" w:cs="仿宋_GB2312"/>
          <w:spacing w:val="8"/>
          <w:sz w:val="32"/>
          <w:szCs w:val="32"/>
          <w:lang w:val="en-US" w:eastAsia="zh-CN"/>
        </w:rPr>
        <w:t>学术</w:t>
      </w:r>
      <w:r>
        <w:rPr>
          <w:rFonts w:hint="eastAsia" w:ascii="仿宋_GB2312" w:hAnsi="仿宋_GB2312" w:eastAsia="仿宋_GB2312" w:cs="仿宋_GB2312"/>
          <w:spacing w:val="8"/>
          <w:sz w:val="32"/>
          <w:szCs w:val="32"/>
          <w:lang w:eastAsia="zh-CN"/>
        </w:rPr>
        <w:t>论文≥1篇。</w:t>
      </w:r>
    </w:p>
    <w:p w14:paraId="7A969A43">
      <w:pPr>
        <w:keepNext w:val="0"/>
        <w:keepLines w:val="0"/>
        <w:pageBreakBefore w:val="0"/>
        <w:kinsoku/>
        <w:wordWrap/>
        <w:overflowPunct/>
        <w:topLinePunct w:val="0"/>
        <w:autoSpaceDE/>
        <w:autoSpaceDN/>
        <w:bidi w:val="0"/>
        <w:adjustRightInd/>
        <w:snapToGrid/>
        <w:spacing w:line="520" w:lineRule="exact"/>
        <w:ind w:firstLine="672" w:firstLineChars="200"/>
        <w:jc w:val="both"/>
        <w:textAlignment w:val="auto"/>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（二）技术指标：建立高通量核酸快检系统的评估体系，并对核酸检测设备进行全面系统的评估，形成≥1份</w:t>
      </w:r>
      <w:r>
        <w:rPr>
          <w:rFonts w:hint="eastAsia" w:ascii="仿宋_GB2312" w:hAnsi="仿宋_GB2312" w:eastAsia="仿宋_GB2312" w:cs="仿宋_GB2312"/>
          <w:spacing w:val="8"/>
          <w:sz w:val="32"/>
          <w:szCs w:val="32"/>
          <w:lang w:val="en-US" w:eastAsia="zh-CN"/>
        </w:rPr>
        <w:t>性能</w:t>
      </w:r>
      <w:r>
        <w:rPr>
          <w:rFonts w:hint="eastAsia" w:ascii="仿宋_GB2312" w:hAnsi="仿宋_GB2312" w:eastAsia="仿宋_GB2312" w:cs="仿宋_GB2312"/>
          <w:spacing w:val="8"/>
          <w:sz w:val="32"/>
          <w:szCs w:val="32"/>
          <w:lang w:eastAsia="zh-CN"/>
        </w:rPr>
        <w:t>评估报告。</w:t>
      </w:r>
    </w:p>
    <w:p w14:paraId="6FF22F8C">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spacing w:val="8"/>
          <w:sz w:val="32"/>
          <w:szCs w:val="32"/>
          <w:lang w:eastAsia="zh-CN"/>
        </w:rPr>
        <w:t>四、项目实施年限：</w:t>
      </w:r>
      <w:r>
        <w:rPr>
          <w:rFonts w:hint="eastAsia" w:ascii="仿宋_GB2312" w:hAnsi="仿宋_GB2312" w:eastAsia="仿宋_GB2312" w:cs="仿宋_GB2312"/>
          <w:spacing w:val="8"/>
          <w:sz w:val="32"/>
          <w:szCs w:val="32"/>
          <w:lang w:eastAsia="zh-CN"/>
        </w:rPr>
        <w:t>不超过2年</w:t>
      </w:r>
    </w:p>
    <w:p w14:paraId="3916F32A">
      <w:pPr>
        <w:keepNext w:val="0"/>
        <w:keepLines w:val="0"/>
        <w:pageBreakBefore w:val="0"/>
        <w:kinsoku/>
        <w:wordWrap/>
        <w:overflowPunct/>
        <w:topLinePunct w:val="0"/>
        <w:autoSpaceDE/>
        <w:autoSpaceDN/>
        <w:bidi w:val="0"/>
        <w:adjustRightInd/>
        <w:snapToGrid/>
        <w:spacing w:line="520" w:lineRule="exact"/>
        <w:jc w:val="both"/>
        <w:textAlignment w:val="auto"/>
        <w:rPr>
          <w:rFonts w:ascii="仿宋_GB2312" w:hAnsi="仿宋_GB2312" w:eastAsia="仿宋_GB2312" w:cs="仿宋_GB2312"/>
          <w:spacing w:val="8"/>
          <w:sz w:val="32"/>
          <w:szCs w:val="32"/>
          <w:lang w:eastAsia="zh-CN"/>
        </w:rPr>
      </w:pPr>
      <w:r>
        <w:rPr>
          <w:rFonts w:hint="eastAsia" w:ascii="仿宋_GB2312" w:hAnsi="仿宋_GB2312" w:eastAsia="仿宋_GB2312" w:cs="仿宋_GB2312"/>
          <w:b/>
          <w:spacing w:val="8"/>
          <w:sz w:val="32"/>
          <w:szCs w:val="32"/>
          <w:lang w:eastAsia="zh-CN"/>
        </w:rPr>
        <w:t>五、资助金额：</w:t>
      </w:r>
      <w:r>
        <w:rPr>
          <w:rFonts w:hint="eastAsia" w:ascii="仿宋_GB2312" w:hAnsi="仿宋_GB2312" w:eastAsia="仿宋_GB2312" w:cs="仿宋_GB2312"/>
          <w:spacing w:val="8"/>
          <w:sz w:val="32"/>
          <w:szCs w:val="32"/>
          <w:lang w:eastAsia="zh-CN"/>
        </w:rPr>
        <w:t>不超过</w:t>
      </w:r>
      <w:r>
        <w:rPr>
          <w:rFonts w:hint="eastAsia" w:ascii="仿宋_GB2312" w:hAnsi="仿宋_GB2312" w:eastAsia="仿宋_GB2312" w:cs="仿宋_GB2312"/>
          <w:spacing w:val="8"/>
          <w:sz w:val="32"/>
          <w:szCs w:val="32"/>
          <w:lang w:val="en-US" w:eastAsia="zh-CN"/>
        </w:rPr>
        <w:t>20</w:t>
      </w:r>
      <w:r>
        <w:rPr>
          <w:rFonts w:hint="eastAsia" w:ascii="仿宋_GB2312" w:hAnsi="仿宋_GB2312" w:eastAsia="仿宋_GB2312" w:cs="仿宋_GB2312"/>
          <w:spacing w:val="8"/>
          <w:sz w:val="32"/>
          <w:szCs w:val="32"/>
          <w:lang w:eastAsia="zh-CN"/>
        </w:rPr>
        <w:t>万元</w:t>
      </w:r>
    </w:p>
    <w:p w14:paraId="1CB26533">
      <w:pPr>
        <w:keepNext w:val="0"/>
        <w:keepLines w:val="0"/>
        <w:pageBreakBefore w:val="0"/>
        <w:wordWrap/>
        <w:overflowPunct/>
        <w:topLinePunct w:val="0"/>
        <w:bidi w:val="0"/>
        <w:spacing w:line="520" w:lineRule="exact"/>
      </w:pPr>
    </w:p>
    <w:p w14:paraId="16E59F15">
      <w:pPr>
        <w:keepNext w:val="0"/>
        <w:keepLines w:val="0"/>
        <w:pageBreakBefore w:val="0"/>
        <w:wordWrap/>
        <w:overflowPunct/>
        <w:topLinePunct w:val="0"/>
        <w:bidi w:val="0"/>
        <w:spacing w:line="520" w:lineRule="exact"/>
      </w:pPr>
    </w:p>
    <w:p w14:paraId="1C4E7537">
      <w:pPr>
        <w:keepNext w:val="0"/>
        <w:keepLines w:val="0"/>
        <w:pageBreakBefore w:val="0"/>
        <w:wordWrap/>
        <w:overflowPunct/>
        <w:topLinePunct w:val="0"/>
        <w:bidi w:val="0"/>
        <w:spacing w:line="520" w:lineRule="exact"/>
      </w:pPr>
    </w:p>
    <w:p w14:paraId="0EB9BAF9">
      <w:pPr>
        <w:keepNext w:val="0"/>
        <w:keepLines w:val="0"/>
        <w:pageBreakBefore w:val="0"/>
        <w:wordWrap/>
        <w:overflowPunct/>
        <w:topLinePunct w:val="0"/>
        <w:bidi w:val="0"/>
        <w:spacing w:line="520" w:lineRule="exact"/>
      </w:pPr>
    </w:p>
    <w:p w14:paraId="088017BA">
      <w:pPr>
        <w:keepNext w:val="0"/>
        <w:keepLines w:val="0"/>
        <w:pageBreakBefore w:val="0"/>
        <w:wordWrap/>
        <w:overflowPunct/>
        <w:topLinePunct w:val="0"/>
        <w:bidi w:val="0"/>
        <w:spacing w:line="520" w:lineRule="exact"/>
      </w:pPr>
    </w:p>
    <w:p w14:paraId="0A02E0D5">
      <w:pPr>
        <w:keepNext w:val="0"/>
        <w:keepLines w:val="0"/>
        <w:pageBreakBefore w:val="0"/>
        <w:wordWrap/>
        <w:overflowPunct/>
        <w:topLinePunct w:val="0"/>
        <w:bidi w:val="0"/>
        <w:spacing w:line="520" w:lineRule="exact"/>
      </w:pPr>
    </w:p>
    <w:p w14:paraId="0CB91051">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z w:val="44"/>
          <w:szCs w:val="44"/>
        </w:rPr>
      </w:pPr>
      <w:bookmarkStart w:id="11" w:name="_Toc19096"/>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12 </w:t>
      </w:r>
      <w:r>
        <w:rPr>
          <w:rFonts w:hint="eastAsia" w:ascii="方正小标宋简体" w:hAnsi="方正小标宋简体" w:eastAsia="方正小标宋简体" w:cs="方正小标宋简体"/>
          <w:b w:val="0"/>
          <w:bCs w:val="0"/>
          <w:sz w:val="44"/>
          <w:szCs w:val="44"/>
        </w:rPr>
        <w:t>儿童溶血PDR全新解决方案及报告规范化研究</w:t>
      </w:r>
      <w:bookmarkEnd w:id="11"/>
    </w:p>
    <w:p w14:paraId="29512A27">
      <w:pPr>
        <w:keepNext w:val="0"/>
        <w:keepLines w:val="0"/>
        <w:pageBreakBefore w:val="0"/>
        <w:wordWrap/>
        <w:overflowPunct/>
        <w:topLinePunct w:val="0"/>
        <w:bidi w:val="0"/>
        <w:spacing w:line="520" w:lineRule="exact"/>
        <w:jc w:val="center"/>
        <w:rPr>
          <w:rFonts w:hint="eastAsia" w:ascii="方正小标宋简体" w:hAnsi="方正小标宋简体" w:eastAsia="方正小标宋简体" w:cs="方正小标宋简体"/>
          <w:b w:val="0"/>
          <w:bCs w:val="0"/>
          <w:sz w:val="44"/>
          <w:szCs w:val="44"/>
        </w:rPr>
      </w:pPr>
    </w:p>
    <w:p w14:paraId="3282E345">
      <w:pPr>
        <w:keepNext w:val="0"/>
        <w:keepLines w:val="0"/>
        <w:pageBreakBefore w:val="0"/>
        <w:wordWrap/>
        <w:overflowPunct/>
        <w:topLinePunct w:val="0"/>
        <w:bidi w:val="0"/>
        <w:spacing w:line="520" w:lineRule="exact"/>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溶血干扰</w:t>
      </w:r>
    </w:p>
    <w:p w14:paraId="2E2E97E7">
      <w:pPr>
        <w:pStyle w:val="11"/>
        <w:keepNext w:val="0"/>
        <w:keepLines w:val="0"/>
        <w:pageBreakBefore w:val="0"/>
        <w:wordWrap/>
        <w:overflowPunct/>
        <w:topLinePunct w:val="0"/>
        <w:bidi w:val="0"/>
        <w:spacing w:line="520" w:lineRule="exact"/>
        <w:ind w:left="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0351B07F">
      <w:pPr>
        <w:pStyle w:val="11"/>
        <w:keepNext w:val="0"/>
        <w:keepLines w:val="0"/>
        <w:pageBreakBefore w:val="0"/>
        <w:wordWrap/>
        <w:overflowPunct/>
        <w:topLinePunct w:val="0"/>
        <w:bidi w:val="0"/>
        <w:spacing w:line="52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聚焦儿童生化溶血干扰行业痛点创新P</w:t>
      </w:r>
      <w:r>
        <w:rPr>
          <w:rFonts w:ascii="仿宋_GB2312" w:hAnsi="仿宋_GB2312" w:eastAsia="仿宋_GB2312" w:cs="仿宋_GB2312"/>
          <w:sz w:val="32"/>
          <w:szCs w:val="32"/>
        </w:rPr>
        <w:t>DR</w:t>
      </w:r>
      <w:r>
        <w:rPr>
          <w:rFonts w:hint="eastAsia" w:ascii="仿宋_GB2312" w:hAnsi="仿宋_GB2312" w:eastAsia="仿宋_GB2312" w:cs="仿宋_GB2312"/>
          <w:sz w:val="32"/>
          <w:szCs w:val="32"/>
        </w:rPr>
        <w:t>方案。分层统计儿童/妇幼医院溶血现状，按年龄段、疾病类型分析溶血规律、占比及高危因素，明确其对检验结果的影响；基于全新PDR干扰校正技术，从精密度、准确性等维度评估校正效果，验证技术有效性；</w:t>
      </w:r>
    </w:p>
    <w:p w14:paraId="3E9CE8C5">
      <w:pPr>
        <w:pStyle w:val="11"/>
        <w:keepNext w:val="0"/>
        <w:keepLines w:val="0"/>
        <w:pageBreakBefore w:val="0"/>
        <w:wordWrap/>
        <w:overflowPunct/>
        <w:topLinePunct w:val="0"/>
        <w:bidi w:val="0"/>
        <w:spacing w:line="52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对比生化校正结果在儿童肝/心肌损伤溶血组与未溶血组中的诊疗效能，研究技术临床适用性与安全性；制定PDR报告规范，通过临床试用明确报告内容规范及解读标准。</w:t>
      </w:r>
    </w:p>
    <w:p w14:paraId="285B879D">
      <w:pPr>
        <w:keepNext w:val="0"/>
        <w:keepLines w:val="0"/>
        <w:pageBreakBefore w:val="0"/>
        <w:wordWrap/>
        <w:overflowPunct/>
        <w:topLinePunct w:val="0"/>
        <w:bidi w:val="0"/>
        <w:spacing w:line="52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122D0FB4">
      <w:pPr>
        <w:pStyle w:val="4"/>
        <w:keepNext w:val="0"/>
        <w:keepLines w:val="0"/>
        <w:pageBreakBefore w:val="0"/>
        <w:wordWrap/>
        <w:overflowPunct/>
        <w:topLinePunct w:val="0"/>
        <w:bidi w:val="0"/>
        <w:spacing w:line="520" w:lineRule="exact"/>
        <w:ind w:right="19" w:firstLine="672" w:firstLineChars="200"/>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rPr>
        <w:t>（一）学术指标：发表学术论文≥1篇</w:t>
      </w:r>
      <w:r>
        <w:rPr>
          <w:rFonts w:hint="eastAsia" w:ascii="仿宋_GB2312" w:hAnsi="仿宋_GB2312" w:eastAsia="仿宋_GB2312" w:cs="仿宋_GB2312"/>
          <w:spacing w:val="8"/>
          <w:sz w:val="32"/>
          <w:szCs w:val="32"/>
          <w:lang w:eastAsia="zh-CN"/>
        </w:rPr>
        <w:t>。</w:t>
      </w:r>
    </w:p>
    <w:p w14:paraId="43CF30F4">
      <w:pPr>
        <w:pStyle w:val="4"/>
        <w:keepNext w:val="0"/>
        <w:keepLines w:val="0"/>
        <w:pageBreakBefore w:val="0"/>
        <w:numPr>
          <w:ilvl w:val="0"/>
          <w:numId w:val="0"/>
        </w:numPr>
        <w:wordWrap/>
        <w:overflowPunct/>
        <w:topLinePunct w:val="0"/>
        <w:bidi w:val="0"/>
        <w:spacing w:line="520" w:lineRule="exact"/>
        <w:ind w:right="19" w:firstLine="672" w:firstLineChars="200"/>
        <w:jc w:val="left"/>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二</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技术指标：</w:t>
      </w:r>
    </w:p>
    <w:p w14:paraId="31335DC5">
      <w:pPr>
        <w:pStyle w:val="4"/>
        <w:keepNext w:val="0"/>
        <w:keepLines w:val="0"/>
        <w:pageBreakBefore w:val="0"/>
        <w:numPr>
          <w:ilvl w:val="0"/>
          <w:numId w:val="0"/>
        </w:numPr>
        <w:wordWrap/>
        <w:overflowPunct/>
        <w:topLinePunct w:val="0"/>
        <w:bidi w:val="0"/>
        <w:spacing w:line="520" w:lineRule="exact"/>
        <w:ind w:left="0" w:right="19" w:firstLine="672"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sz w:val="32"/>
          <w:szCs w:val="32"/>
        </w:rPr>
        <w:t>参与该多中心研究的医院，每家收集不同程度儿童溶血样本≥300例，儿童未溶血样本≥300例</w:t>
      </w:r>
      <w:r>
        <w:rPr>
          <w:rFonts w:hint="eastAsia" w:ascii="仿宋_GB2312" w:hAnsi="仿宋_GB2312" w:eastAsia="仿宋_GB2312" w:cs="仿宋_GB2312"/>
          <w:sz w:val="32"/>
          <w:szCs w:val="32"/>
          <w:lang w:eastAsia="zh-CN"/>
        </w:rPr>
        <w:t>；</w:t>
      </w:r>
    </w:p>
    <w:p w14:paraId="3029487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规范化报告通过≥10个临床科室（≥5名临床主治/副主任/主任医生/科室）的临床试用；典型案例收集≥20例/家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8"/>
          <w:sz w:val="32"/>
          <w:szCs w:val="32"/>
          <w:lang w:eastAsia="zh-CN"/>
        </w:rPr>
        <w:t>形成≥1份</w:t>
      </w:r>
      <w:r>
        <w:rPr>
          <w:rFonts w:hint="eastAsia" w:ascii="仿宋_GB2312" w:hAnsi="仿宋_GB2312" w:eastAsia="仿宋_GB2312" w:cs="仿宋_GB2312"/>
          <w:spacing w:val="8"/>
          <w:sz w:val="32"/>
          <w:szCs w:val="32"/>
          <w:lang w:val="en-US" w:eastAsia="zh-CN"/>
        </w:rPr>
        <w:t>项目结题</w:t>
      </w:r>
      <w:r>
        <w:rPr>
          <w:rFonts w:hint="eastAsia" w:ascii="仿宋_GB2312" w:hAnsi="仿宋_GB2312" w:eastAsia="仿宋_GB2312" w:cs="仿宋_GB2312"/>
          <w:spacing w:val="8"/>
          <w:sz w:val="32"/>
          <w:szCs w:val="32"/>
          <w:lang w:eastAsia="zh-CN"/>
        </w:rPr>
        <w:t>报告。</w:t>
      </w:r>
    </w:p>
    <w:p w14:paraId="5B570AD0">
      <w:pPr>
        <w:pStyle w:val="11"/>
        <w:keepNext w:val="0"/>
        <w:keepLines w:val="0"/>
        <w:pageBreakBefore w:val="0"/>
        <w:wordWrap/>
        <w:overflowPunct/>
        <w:topLinePunct w:val="0"/>
        <w:bidi w:val="0"/>
        <w:spacing w:line="520" w:lineRule="exact"/>
        <w:ind w:left="0"/>
        <w:rPr>
          <w:rFonts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不超过2年</w:t>
      </w:r>
    </w:p>
    <w:p w14:paraId="1F176D42">
      <w:pPr>
        <w:pStyle w:val="11"/>
        <w:keepNext w:val="0"/>
        <w:keepLines w:val="0"/>
        <w:pageBreakBefore w:val="0"/>
        <w:wordWrap/>
        <w:overflowPunct/>
        <w:topLinePunct w:val="0"/>
        <w:bidi w:val="0"/>
        <w:spacing w:line="520" w:lineRule="exact"/>
        <w:ind w:left="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不超过10万元</w:t>
      </w:r>
    </w:p>
    <w:p w14:paraId="40E1AA64">
      <w:pPr>
        <w:pStyle w:val="11"/>
        <w:keepNext w:val="0"/>
        <w:keepLines w:val="0"/>
        <w:pageBreakBefore w:val="0"/>
        <w:wordWrap/>
        <w:overflowPunct/>
        <w:topLinePunct w:val="0"/>
        <w:bidi w:val="0"/>
        <w:spacing w:line="520" w:lineRule="exact"/>
        <w:ind w:left="0"/>
        <w:rPr>
          <w:rFonts w:hint="eastAsia" w:ascii="仿宋_GB2312" w:hAnsi="仿宋_GB2312" w:eastAsia="仿宋_GB2312" w:cs="仿宋_GB2312"/>
          <w:sz w:val="32"/>
          <w:szCs w:val="32"/>
        </w:rPr>
      </w:pPr>
    </w:p>
    <w:p w14:paraId="2D4530D8">
      <w:pPr>
        <w:keepNext w:val="0"/>
        <w:keepLines w:val="0"/>
        <w:pageBreakBefore w:val="0"/>
        <w:numPr>
          <w:ilvl w:val="0"/>
          <w:numId w:val="0"/>
        </w:numPr>
        <w:wordWrap/>
        <w:overflowPunct/>
        <w:topLinePunct w:val="0"/>
        <w:bidi w:val="0"/>
        <w:spacing w:line="520" w:lineRule="exact"/>
        <w:ind w:right="248" w:rightChars="0"/>
        <w:jc w:val="center"/>
        <w:outlineLvl w:val="0"/>
        <w:rPr>
          <w:rFonts w:hint="eastAsia" w:ascii="方正小标宋简体" w:hAnsi="方正小标宋简体" w:eastAsia="方正小标宋简体" w:cs="方正小标宋简体"/>
          <w:b w:val="0"/>
          <w:bCs w:val="0"/>
          <w:snapToGrid w:val="0"/>
          <w:color w:val="000000"/>
          <w:spacing w:val="8"/>
          <w:sz w:val="44"/>
          <w:szCs w:val="44"/>
          <w:lang w:val="en-US" w:eastAsia="zh-CN" w:bidi="ar-SA"/>
        </w:rPr>
      </w:pPr>
      <w:bookmarkStart w:id="12" w:name="_Toc20481"/>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13 </w:t>
      </w:r>
      <w:r>
        <w:rPr>
          <w:rFonts w:hint="eastAsia" w:ascii="方正小标宋简体" w:hAnsi="方正小标宋简体" w:eastAsia="方正小标宋简体" w:cs="方正小标宋简体"/>
          <w:b w:val="0"/>
          <w:bCs w:val="0"/>
          <w:snapToGrid w:val="0"/>
          <w:color w:val="000000"/>
          <w:spacing w:val="8"/>
          <w:sz w:val="44"/>
          <w:szCs w:val="44"/>
          <w:lang w:val="en-US" w:eastAsia="zh-CN" w:bidi="ar-SA"/>
        </w:rPr>
        <w:t>基于病原体与免疫炎症特征的儿童呼吸道感染病情风险分层研究</w:t>
      </w:r>
      <w:bookmarkEnd w:id="12"/>
    </w:p>
    <w:p w14:paraId="7CC94E1E">
      <w:pPr>
        <w:keepNext w:val="0"/>
        <w:keepLines w:val="0"/>
        <w:pageBreakBefore w:val="0"/>
        <w:numPr>
          <w:ilvl w:val="0"/>
          <w:numId w:val="0"/>
        </w:numPr>
        <w:wordWrap/>
        <w:overflowPunct/>
        <w:topLinePunct w:val="0"/>
        <w:bidi w:val="0"/>
        <w:spacing w:line="520" w:lineRule="exact"/>
        <w:ind w:right="248" w:rightChars="0"/>
        <w:jc w:val="center"/>
        <w:outlineLvl w:val="0"/>
        <w:rPr>
          <w:rFonts w:hint="eastAsia" w:ascii="方正小标宋简体" w:hAnsi="方正小标宋简体" w:eastAsia="方正小标宋简体" w:cs="方正小标宋简体"/>
          <w:b w:val="0"/>
          <w:bCs w:val="0"/>
          <w:snapToGrid w:val="0"/>
          <w:color w:val="000000"/>
          <w:spacing w:val="8"/>
          <w:sz w:val="44"/>
          <w:szCs w:val="44"/>
          <w:lang w:val="en-US" w:eastAsia="zh-CN" w:bidi="ar-SA"/>
        </w:rPr>
      </w:pPr>
    </w:p>
    <w:p w14:paraId="4D37FBC1">
      <w:pPr>
        <w:keepNext w:val="0"/>
        <w:keepLines w:val="0"/>
        <w:pageBreakBefore w:val="0"/>
        <w:wordWrap/>
        <w:overflowPunct/>
        <w:topLinePunct w:val="0"/>
        <w:bidi w:val="0"/>
        <w:spacing w:line="520" w:lineRule="exact"/>
        <w:jc w:val="both"/>
        <w:rPr>
          <w:rFonts w:hint="eastAsia" w:ascii="仿宋_GB2312" w:eastAsia="仿宋_GB2312"/>
          <w:bCs/>
          <w:spacing w:val="8"/>
          <w:sz w:val="32"/>
          <w:szCs w:val="32"/>
          <w:lang w:val="en-US" w:eastAsia="zh-CN"/>
        </w:rPr>
      </w:pPr>
      <w:r>
        <w:rPr>
          <w:rFonts w:hint="eastAsia" w:ascii="仿宋_GB2312" w:eastAsia="仿宋_GB2312"/>
          <w:b/>
          <w:bCs w:val="0"/>
          <w:spacing w:val="8"/>
          <w:sz w:val="32"/>
          <w:szCs w:val="32"/>
          <w:lang w:val="en-US" w:eastAsia="zh-CN"/>
        </w:rPr>
        <w:t>一、领域：</w:t>
      </w:r>
      <w:r>
        <w:rPr>
          <w:rFonts w:hint="eastAsia" w:ascii="仿宋_GB2312" w:eastAsia="仿宋_GB2312"/>
          <w:bCs/>
          <w:spacing w:val="8"/>
          <w:sz w:val="32"/>
          <w:szCs w:val="32"/>
          <w:lang w:val="en-US" w:eastAsia="zh-CN"/>
        </w:rPr>
        <w:t>分子诊断、临床检验</w:t>
      </w:r>
    </w:p>
    <w:p w14:paraId="6D218B89">
      <w:pPr>
        <w:keepNext w:val="0"/>
        <w:keepLines w:val="0"/>
        <w:pageBreakBefore w:val="0"/>
        <w:wordWrap/>
        <w:overflowPunct/>
        <w:topLinePunct w:val="0"/>
        <w:bidi w:val="0"/>
        <w:spacing w:line="520" w:lineRule="exact"/>
        <w:jc w:val="both"/>
        <w:rPr>
          <w:rFonts w:hint="eastAsia" w:ascii="仿宋_GB2312" w:eastAsia="仿宋_GB2312"/>
          <w:b/>
          <w:bCs w:val="0"/>
          <w:spacing w:val="8"/>
          <w:sz w:val="32"/>
          <w:szCs w:val="32"/>
          <w:lang w:val="en-US" w:eastAsia="zh-CN"/>
        </w:rPr>
      </w:pPr>
      <w:r>
        <w:rPr>
          <w:rFonts w:hint="eastAsia" w:ascii="仿宋_GB2312" w:eastAsia="仿宋_GB2312"/>
          <w:b/>
          <w:bCs w:val="0"/>
          <w:spacing w:val="8"/>
          <w:sz w:val="32"/>
          <w:szCs w:val="32"/>
          <w:lang w:val="en-US" w:eastAsia="zh-CN"/>
        </w:rPr>
        <w:t>二、主要研究内容</w:t>
      </w:r>
    </w:p>
    <w:p w14:paraId="197D6051">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US" w:eastAsia="zh-CN"/>
        </w:rPr>
      </w:pPr>
      <w:r>
        <w:rPr>
          <w:rFonts w:hint="eastAsia" w:ascii="仿宋_GB2312" w:eastAsia="仿宋_GB2312"/>
          <w:bCs/>
          <w:spacing w:val="8"/>
          <w:sz w:val="32"/>
          <w:szCs w:val="32"/>
          <w:lang w:val="en-US" w:eastAsia="zh-CN"/>
        </w:rPr>
        <w:t>针对儿童呼吸道感染病情评估与早期预警需求，围绕病原学特征和免疫炎症反应开展以下研究：</w:t>
      </w:r>
    </w:p>
    <w:p w14:paraId="54BADD4C">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US" w:eastAsia="zh-CN"/>
        </w:rPr>
      </w:pPr>
      <w:r>
        <w:rPr>
          <w:rFonts w:hint="eastAsia" w:ascii="仿宋_GB2312" w:eastAsia="仿宋_GB2312"/>
          <w:bCs/>
          <w:spacing w:val="8"/>
          <w:sz w:val="32"/>
          <w:szCs w:val="32"/>
          <w:lang w:val="en-US" w:eastAsia="zh-CN"/>
        </w:rPr>
        <w:t>（一）儿童呼吸道感染常见病原体流行特征及临床表型分析：系统研究病毒、细菌及非典型病原体在不同年龄、季节中的分布规律，结合发热、咳嗽及影像学等临床表现，明确不同病原体相关临床表型特征；</w:t>
      </w:r>
    </w:p>
    <w:p w14:paraId="5B72CAE2">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US" w:eastAsia="zh-CN"/>
        </w:rPr>
      </w:pPr>
      <w:r>
        <w:rPr>
          <w:rFonts w:hint="eastAsia" w:ascii="仿宋_GB2312" w:eastAsia="仿宋_GB2312"/>
          <w:bCs/>
          <w:spacing w:val="8"/>
          <w:sz w:val="32"/>
          <w:szCs w:val="32"/>
          <w:lang w:val="en-US" w:eastAsia="zh-CN"/>
        </w:rPr>
        <w:t>（二）病原体相关免疫炎症特征及病原负荷关联研究：依托血常规、C反应蛋白、降钙素原、细胞因子等指标，比较不同病原体感染所致免疫炎症反应模式，筛选病情进展相关关键标志物，分析病原体种类、载量与病情严重程度之间的关系；</w:t>
      </w:r>
    </w:p>
    <w:p w14:paraId="30236AE4">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AU" w:eastAsia="zh-CN"/>
        </w:rPr>
      </w:pPr>
      <w:r>
        <w:rPr>
          <w:rFonts w:hint="eastAsia" w:ascii="仿宋_GB2312" w:eastAsia="仿宋_GB2312"/>
          <w:bCs/>
          <w:spacing w:val="8"/>
          <w:sz w:val="32"/>
          <w:szCs w:val="32"/>
          <w:lang w:val="en-US" w:eastAsia="zh-CN"/>
        </w:rPr>
        <w:t>（三）病情风险分层关键指标筛选及预测模型构建：整合临床症状体征、病原学检测结果和免疫炎症指标，筛选重症化及病情加重相关因素，建立儿童呼吸道感染病情评估与风险分层模型，为临床早期预警、精准诊疗和分级管理提供科学依据。</w:t>
      </w:r>
    </w:p>
    <w:p w14:paraId="6810BD3E">
      <w:pPr>
        <w:keepNext w:val="0"/>
        <w:keepLines w:val="0"/>
        <w:pageBreakBefore w:val="0"/>
        <w:wordWrap/>
        <w:overflowPunct/>
        <w:topLinePunct w:val="0"/>
        <w:bidi w:val="0"/>
        <w:spacing w:line="520" w:lineRule="exact"/>
        <w:jc w:val="both"/>
        <w:rPr>
          <w:rFonts w:hint="eastAsia" w:ascii="仿宋_GB2312" w:eastAsia="仿宋_GB2312"/>
          <w:b/>
          <w:bCs w:val="0"/>
          <w:spacing w:val="8"/>
          <w:sz w:val="32"/>
          <w:szCs w:val="32"/>
          <w:lang w:val="en-AU" w:eastAsia="zh-CN"/>
        </w:rPr>
      </w:pPr>
      <w:r>
        <w:rPr>
          <w:rFonts w:hint="eastAsia" w:ascii="仿宋_GB2312" w:eastAsia="仿宋_GB2312"/>
          <w:b/>
          <w:bCs w:val="0"/>
          <w:spacing w:val="8"/>
          <w:sz w:val="32"/>
          <w:szCs w:val="32"/>
          <w:lang w:val="en-AU" w:eastAsia="zh-CN"/>
        </w:rPr>
        <w:t>三、项目考核指标（项目执行期内）</w:t>
      </w:r>
    </w:p>
    <w:p w14:paraId="4458F2B4">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AU" w:eastAsia="zh-CN"/>
        </w:rPr>
      </w:pPr>
      <w:r>
        <w:rPr>
          <w:rFonts w:hint="eastAsia" w:ascii="仿宋_GB2312" w:eastAsia="仿宋_GB2312"/>
          <w:bCs/>
          <w:spacing w:val="8"/>
          <w:sz w:val="32"/>
          <w:szCs w:val="32"/>
          <w:lang w:val="en-US" w:eastAsia="zh-CN"/>
        </w:rPr>
        <w:t>（一）</w:t>
      </w:r>
      <w:r>
        <w:rPr>
          <w:rFonts w:hint="eastAsia" w:ascii="仿宋_GB2312" w:eastAsia="仿宋_GB2312"/>
          <w:bCs/>
          <w:spacing w:val="8"/>
          <w:sz w:val="32"/>
          <w:szCs w:val="32"/>
          <w:lang w:val="en-AU" w:eastAsia="zh-CN"/>
        </w:rPr>
        <w:t>学术指标：发表学术论文≥1篇。</w:t>
      </w:r>
    </w:p>
    <w:p w14:paraId="7A43B3C3">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AU" w:eastAsia="zh-CN"/>
        </w:rPr>
      </w:pPr>
      <w:r>
        <w:rPr>
          <w:rFonts w:hint="eastAsia" w:ascii="仿宋_GB2312" w:eastAsia="仿宋_GB2312"/>
          <w:bCs/>
          <w:spacing w:val="8"/>
          <w:sz w:val="32"/>
          <w:szCs w:val="32"/>
          <w:lang w:val="en-US" w:eastAsia="zh-CN"/>
        </w:rPr>
        <w:t>（二）</w:t>
      </w:r>
      <w:r>
        <w:rPr>
          <w:rFonts w:hint="eastAsia" w:ascii="仿宋_GB2312" w:eastAsia="仿宋_GB2312"/>
          <w:bCs/>
          <w:spacing w:val="8"/>
          <w:sz w:val="32"/>
          <w:szCs w:val="32"/>
          <w:lang w:val="en-AU" w:eastAsia="zh-CN"/>
        </w:rPr>
        <w:t>技术指标：</w:t>
      </w:r>
    </w:p>
    <w:p w14:paraId="66B5DFC1">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AU" w:eastAsia="zh-CN"/>
        </w:rPr>
      </w:pPr>
      <w:r>
        <w:rPr>
          <w:rFonts w:hint="eastAsia" w:ascii="仿宋_GB2312" w:eastAsia="仿宋_GB2312"/>
          <w:bCs/>
          <w:spacing w:val="8"/>
          <w:sz w:val="32"/>
          <w:szCs w:val="32"/>
          <w:lang w:val="en-US" w:eastAsia="zh-CN"/>
        </w:rPr>
        <w:t>1.</w:t>
      </w:r>
      <w:r>
        <w:rPr>
          <w:rFonts w:hint="eastAsia" w:ascii="仿宋_GB2312" w:eastAsia="仿宋_GB2312"/>
          <w:bCs/>
          <w:spacing w:val="8"/>
          <w:sz w:val="32"/>
          <w:szCs w:val="32"/>
          <w:lang w:val="en-AU" w:eastAsia="zh-CN"/>
        </w:rPr>
        <w:t>系统评估儿童呼吸道感染病原体类型、病原载量及免疫炎症指标与病情严重程度的关联性，筛选具有病原识别、病情评估及风险预警价值的关键标志物；</w:t>
      </w:r>
    </w:p>
    <w:p w14:paraId="6C6E5025">
      <w:pPr>
        <w:keepNext w:val="0"/>
        <w:keepLines w:val="0"/>
        <w:pageBreakBefore w:val="0"/>
        <w:wordWrap/>
        <w:overflowPunct/>
        <w:topLinePunct w:val="0"/>
        <w:bidi w:val="0"/>
        <w:spacing w:line="520" w:lineRule="exact"/>
        <w:ind w:firstLine="672" w:firstLineChars="200"/>
        <w:jc w:val="both"/>
        <w:rPr>
          <w:rFonts w:hint="eastAsia" w:ascii="仿宋_GB2312" w:eastAsia="仿宋_GB2312"/>
          <w:bCs/>
          <w:spacing w:val="8"/>
          <w:sz w:val="32"/>
          <w:szCs w:val="32"/>
          <w:lang w:val="en-AU" w:eastAsia="zh-CN"/>
        </w:rPr>
      </w:pPr>
      <w:r>
        <w:rPr>
          <w:rFonts w:hint="eastAsia" w:ascii="仿宋_GB2312" w:eastAsia="仿宋_GB2312"/>
          <w:bCs/>
          <w:spacing w:val="8"/>
          <w:sz w:val="32"/>
          <w:szCs w:val="32"/>
          <w:lang w:val="en-US" w:eastAsia="zh-CN"/>
        </w:rPr>
        <w:t>2.</w:t>
      </w:r>
      <w:r>
        <w:rPr>
          <w:rFonts w:hint="eastAsia" w:ascii="仿宋_GB2312" w:eastAsia="仿宋_GB2312"/>
          <w:bCs/>
          <w:spacing w:val="8"/>
          <w:sz w:val="32"/>
          <w:szCs w:val="32"/>
          <w:lang w:val="en-AU" w:eastAsia="zh-CN"/>
        </w:rPr>
        <w:t>构建儿童呼吸道感染病原体鉴别与病情风险分层模型，形成临床辅助评估指标体系；完成≥1份项目结题分析报告。</w:t>
      </w:r>
    </w:p>
    <w:p w14:paraId="70EB026E">
      <w:pPr>
        <w:keepNext w:val="0"/>
        <w:keepLines w:val="0"/>
        <w:pageBreakBefore w:val="0"/>
        <w:wordWrap/>
        <w:overflowPunct/>
        <w:topLinePunct w:val="0"/>
        <w:bidi w:val="0"/>
        <w:spacing w:line="520" w:lineRule="exact"/>
        <w:jc w:val="both"/>
        <w:rPr>
          <w:rFonts w:hint="eastAsia" w:ascii="仿宋_GB2312" w:eastAsia="仿宋_GB2312"/>
          <w:bCs/>
          <w:spacing w:val="8"/>
          <w:sz w:val="32"/>
          <w:szCs w:val="32"/>
          <w:lang w:val="en-AU" w:eastAsia="zh-CN"/>
        </w:rPr>
      </w:pPr>
      <w:r>
        <w:rPr>
          <w:rFonts w:hint="eastAsia" w:ascii="仿宋_GB2312" w:eastAsia="仿宋_GB2312"/>
          <w:b/>
          <w:bCs w:val="0"/>
          <w:spacing w:val="8"/>
          <w:sz w:val="32"/>
          <w:szCs w:val="32"/>
          <w:lang w:val="en-AU" w:eastAsia="zh-CN"/>
        </w:rPr>
        <w:t>四、项目实施年限：</w:t>
      </w:r>
      <w:r>
        <w:rPr>
          <w:rFonts w:hint="eastAsia" w:ascii="仿宋_GB2312" w:eastAsia="仿宋_GB2312"/>
          <w:bCs/>
          <w:spacing w:val="8"/>
          <w:sz w:val="32"/>
          <w:szCs w:val="32"/>
          <w:lang w:val="en-AU" w:eastAsia="zh-CN"/>
        </w:rPr>
        <w:t>不超过2年</w:t>
      </w:r>
    </w:p>
    <w:p w14:paraId="37F2028D">
      <w:pPr>
        <w:keepNext w:val="0"/>
        <w:keepLines w:val="0"/>
        <w:pageBreakBefore w:val="0"/>
        <w:wordWrap/>
        <w:overflowPunct/>
        <w:topLinePunct w:val="0"/>
        <w:bidi w:val="0"/>
        <w:spacing w:line="520" w:lineRule="exact"/>
        <w:jc w:val="both"/>
        <w:rPr>
          <w:rFonts w:hint="eastAsia" w:ascii="仿宋_GB2312" w:eastAsia="仿宋_GB2312"/>
          <w:bCs/>
          <w:spacing w:val="8"/>
          <w:sz w:val="32"/>
          <w:szCs w:val="32"/>
          <w:lang w:val="en-AU" w:eastAsia="zh-CN"/>
        </w:rPr>
      </w:pPr>
      <w:r>
        <w:rPr>
          <w:rFonts w:hint="eastAsia" w:ascii="仿宋_GB2312" w:eastAsia="仿宋_GB2312"/>
          <w:b/>
          <w:bCs w:val="0"/>
          <w:spacing w:val="8"/>
          <w:sz w:val="32"/>
          <w:szCs w:val="32"/>
          <w:lang w:val="en-AU" w:eastAsia="zh-CN"/>
        </w:rPr>
        <w:t>五、资助金额：</w:t>
      </w:r>
      <w:r>
        <w:rPr>
          <w:rFonts w:hint="eastAsia" w:ascii="仿宋_GB2312" w:eastAsia="仿宋_GB2312"/>
          <w:bCs/>
          <w:spacing w:val="8"/>
          <w:sz w:val="32"/>
          <w:szCs w:val="32"/>
          <w:lang w:val="en-AU" w:eastAsia="zh-CN"/>
        </w:rPr>
        <w:t>不超过</w:t>
      </w:r>
      <w:r>
        <w:rPr>
          <w:rFonts w:hint="eastAsia" w:ascii="仿宋_GB2312" w:eastAsia="仿宋_GB2312"/>
          <w:bCs/>
          <w:spacing w:val="8"/>
          <w:sz w:val="32"/>
          <w:szCs w:val="32"/>
          <w:lang w:val="en-US" w:eastAsia="zh-CN"/>
        </w:rPr>
        <w:t>10</w:t>
      </w:r>
      <w:r>
        <w:rPr>
          <w:rFonts w:hint="eastAsia" w:ascii="仿宋_GB2312" w:eastAsia="仿宋_GB2312"/>
          <w:bCs/>
          <w:spacing w:val="8"/>
          <w:sz w:val="32"/>
          <w:szCs w:val="32"/>
          <w:lang w:val="en-AU" w:eastAsia="zh-CN"/>
        </w:rPr>
        <w:t>万元</w:t>
      </w:r>
    </w:p>
    <w:p w14:paraId="717B863D">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31DB4350">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45E65090">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461531E9">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292729CA">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5D68A922">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4AD3DDCA">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0987A306">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270EB51A">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5EC14B85">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6C7402D5">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01328E9E">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0D33030F">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7F64AFB6">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0B080FE5">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69873629">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4EF6A39E">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0AEE6FCD">
      <w:pPr>
        <w:pStyle w:val="4"/>
        <w:keepNext w:val="0"/>
        <w:keepLines w:val="0"/>
        <w:pageBreakBefore w:val="0"/>
        <w:wordWrap/>
        <w:overflowPunct/>
        <w:topLinePunct w:val="0"/>
        <w:bidi w:val="0"/>
        <w:spacing w:line="520" w:lineRule="exact"/>
        <w:ind w:right="17"/>
        <w:jc w:val="both"/>
        <w:rPr>
          <w:rFonts w:hint="eastAsia" w:ascii="黑体" w:hAnsi="黑体" w:eastAsia="黑体" w:cs="黑体"/>
          <w:b/>
          <w:bCs/>
          <w:spacing w:val="8"/>
          <w:sz w:val="32"/>
          <w:szCs w:val="32"/>
          <w:lang w:eastAsia="zh-CN"/>
        </w:rPr>
      </w:pPr>
    </w:p>
    <w:p w14:paraId="70BB1EAA">
      <w:pPr>
        <w:keepNext w:val="0"/>
        <w:keepLines w:val="0"/>
        <w:pageBreakBefore w:val="0"/>
        <w:numPr>
          <w:ilvl w:val="0"/>
          <w:numId w:val="0"/>
        </w:numPr>
        <w:wordWrap/>
        <w:overflowPunct/>
        <w:topLinePunct w:val="0"/>
        <w:bidi w:val="0"/>
        <w:spacing w:line="520" w:lineRule="exact"/>
        <w:ind w:right="248" w:rightChars="0"/>
        <w:jc w:val="center"/>
        <w:outlineLvl w:val="0"/>
        <w:rPr>
          <w:rFonts w:hint="eastAsia" w:ascii="方正小标宋简体" w:hAnsi="方正小标宋简体" w:eastAsia="方正小标宋简体" w:cs="方正小标宋简体"/>
          <w:b w:val="0"/>
          <w:bCs w:val="0"/>
          <w:snapToGrid w:val="0"/>
          <w:color w:val="000000"/>
          <w:spacing w:val="8"/>
          <w:sz w:val="44"/>
          <w:szCs w:val="44"/>
          <w:lang w:val="en-US" w:eastAsia="zh-CN" w:bidi="ar-SA"/>
        </w:rPr>
      </w:pPr>
      <w:bookmarkStart w:id="13" w:name="_Toc842"/>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14 </w:t>
      </w:r>
      <w:r>
        <w:rPr>
          <w:rFonts w:hint="eastAsia" w:ascii="方正小标宋简体" w:hAnsi="方正小标宋简体" w:eastAsia="方正小标宋简体" w:cs="方正小标宋简体"/>
          <w:b w:val="0"/>
          <w:bCs w:val="0"/>
          <w:snapToGrid w:val="0"/>
          <w:color w:val="000000"/>
          <w:spacing w:val="8"/>
          <w:sz w:val="44"/>
          <w:szCs w:val="44"/>
          <w:lang w:val="en-US" w:eastAsia="zh-CN" w:bidi="ar-SA"/>
        </w:rPr>
        <w:t>基于多维标志物的静脉血栓形成风险评估与早期诊断模型构建及应用研究</w:t>
      </w:r>
      <w:bookmarkEnd w:id="13"/>
    </w:p>
    <w:p w14:paraId="1146C890">
      <w:pPr>
        <w:keepNext w:val="0"/>
        <w:keepLines w:val="0"/>
        <w:pageBreakBefore w:val="0"/>
        <w:numPr>
          <w:ilvl w:val="0"/>
          <w:numId w:val="0"/>
        </w:numPr>
        <w:wordWrap/>
        <w:overflowPunct/>
        <w:topLinePunct w:val="0"/>
        <w:bidi w:val="0"/>
        <w:spacing w:line="520" w:lineRule="exact"/>
        <w:ind w:right="248" w:rightChars="0"/>
        <w:jc w:val="center"/>
        <w:outlineLvl w:val="0"/>
        <w:rPr>
          <w:rFonts w:hint="default" w:ascii="方正小标宋简体" w:hAnsi="方正小标宋简体" w:eastAsia="方正小标宋简体" w:cs="方正小标宋简体"/>
          <w:b w:val="0"/>
          <w:bCs w:val="0"/>
          <w:snapToGrid w:val="0"/>
          <w:color w:val="000000"/>
          <w:spacing w:val="8"/>
          <w:sz w:val="44"/>
          <w:szCs w:val="44"/>
          <w:lang w:val="en-US" w:eastAsia="zh-CN" w:bidi="ar-SA"/>
        </w:rPr>
      </w:pPr>
    </w:p>
    <w:p w14:paraId="34C4B820">
      <w:pPr>
        <w:pStyle w:val="4"/>
        <w:keepNext w:val="0"/>
        <w:keepLines w:val="0"/>
        <w:pageBreakBefore w:val="0"/>
        <w:wordWrap/>
        <w:overflowPunct/>
        <w:topLinePunct w:val="0"/>
        <w:bidi w:val="0"/>
        <w:spacing w:line="520" w:lineRule="exact"/>
        <w:ind w:right="17"/>
        <w:jc w:val="left"/>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
          <w:bCs w:val="0"/>
          <w:snapToGrid w:val="0"/>
          <w:color w:val="000000"/>
          <w:spacing w:val="8"/>
          <w:sz w:val="32"/>
          <w:szCs w:val="32"/>
          <w:lang w:val="en-AU" w:eastAsia="zh-CN" w:bidi="ar-SA"/>
        </w:rPr>
        <w:t>一、领域：</w:t>
      </w:r>
      <w:r>
        <w:rPr>
          <w:rFonts w:hint="eastAsia" w:ascii="仿宋_GB2312" w:hAnsi="Arial" w:eastAsia="仿宋_GB2312" w:cs="Arial"/>
          <w:bCs/>
          <w:snapToGrid w:val="0"/>
          <w:color w:val="000000"/>
          <w:spacing w:val="8"/>
          <w:sz w:val="32"/>
          <w:szCs w:val="32"/>
          <w:lang w:val="en-AU" w:eastAsia="zh-CN" w:bidi="ar-SA"/>
        </w:rPr>
        <w:t>凝血</w:t>
      </w:r>
    </w:p>
    <w:p w14:paraId="69F89A60">
      <w:pPr>
        <w:pStyle w:val="4"/>
        <w:keepNext w:val="0"/>
        <w:keepLines w:val="0"/>
        <w:pageBreakBefore w:val="0"/>
        <w:wordWrap/>
        <w:overflowPunct/>
        <w:topLinePunct w:val="0"/>
        <w:bidi w:val="0"/>
        <w:spacing w:line="520" w:lineRule="exact"/>
        <w:ind w:right="17"/>
        <w:jc w:val="left"/>
        <w:rPr>
          <w:rFonts w:hint="eastAsia" w:ascii="仿宋_GB2312" w:hAnsi="Arial" w:eastAsia="仿宋_GB2312" w:cs="Arial"/>
          <w:b/>
          <w:bCs w:val="0"/>
          <w:snapToGrid w:val="0"/>
          <w:color w:val="000000"/>
          <w:spacing w:val="8"/>
          <w:sz w:val="32"/>
          <w:szCs w:val="32"/>
          <w:lang w:val="en-AU" w:eastAsia="zh-CN" w:bidi="ar-SA"/>
        </w:rPr>
      </w:pPr>
      <w:r>
        <w:rPr>
          <w:rFonts w:hint="eastAsia" w:ascii="仿宋_GB2312" w:hAnsi="Arial" w:eastAsia="仿宋_GB2312" w:cs="Arial"/>
          <w:b/>
          <w:bCs w:val="0"/>
          <w:snapToGrid w:val="0"/>
          <w:color w:val="000000"/>
          <w:spacing w:val="8"/>
          <w:sz w:val="32"/>
          <w:szCs w:val="32"/>
          <w:lang w:val="en-AU" w:eastAsia="zh-CN" w:bidi="ar-SA"/>
        </w:rPr>
        <w:t>二、主要研究内容</w:t>
      </w:r>
    </w:p>
    <w:p w14:paraId="0B5E34AF">
      <w:pPr>
        <w:pStyle w:val="4"/>
        <w:keepNext w:val="0"/>
        <w:keepLines w:val="0"/>
        <w:pageBreakBefore w:val="0"/>
        <w:wordWrap/>
        <w:overflowPunct/>
        <w:topLinePunct w:val="0"/>
        <w:bidi w:val="0"/>
        <w:spacing w:line="520" w:lineRule="exact"/>
        <w:ind w:right="17" w:firstLine="672" w:firstLineChars="200"/>
        <w:jc w:val="left"/>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Cs/>
          <w:snapToGrid w:val="0"/>
          <w:color w:val="000000"/>
          <w:spacing w:val="8"/>
          <w:sz w:val="32"/>
          <w:szCs w:val="32"/>
          <w:lang w:val="en-AU" w:eastAsia="zh-CN" w:bidi="ar-SA"/>
        </w:rPr>
        <w:t>本研究针对成年静脉血栓</w:t>
      </w:r>
      <w:r>
        <w:rPr>
          <w:rFonts w:hint="eastAsia" w:ascii="仿宋_GB2312" w:hAnsi="Arial" w:eastAsia="仿宋_GB2312" w:cs="Arial"/>
          <w:bCs/>
          <w:snapToGrid w:val="0"/>
          <w:color w:val="000000"/>
          <w:spacing w:val="8"/>
          <w:sz w:val="32"/>
          <w:szCs w:val="32"/>
          <w:lang w:val="en-US" w:eastAsia="zh-CN" w:bidi="ar-SA"/>
        </w:rPr>
        <w:t>形成</w:t>
      </w:r>
      <w:r>
        <w:rPr>
          <w:rFonts w:hint="eastAsia" w:ascii="仿宋_GB2312" w:hAnsi="Arial" w:eastAsia="仿宋_GB2312" w:cs="Arial"/>
          <w:bCs/>
          <w:snapToGrid w:val="0"/>
          <w:color w:val="000000"/>
          <w:spacing w:val="8"/>
          <w:sz w:val="32"/>
          <w:szCs w:val="32"/>
          <w:lang w:val="en-AU" w:eastAsia="zh-CN" w:bidi="ar-SA"/>
        </w:rPr>
        <w:t>（如深静脉血栓形成、视网膜静脉阻塞等），</w:t>
      </w:r>
      <w:r>
        <w:rPr>
          <w:rFonts w:hint="eastAsia" w:ascii="仿宋_GB2312" w:hAnsi="Arial" w:eastAsia="仿宋_GB2312" w:cs="Arial"/>
          <w:bCs/>
          <w:snapToGrid w:val="0"/>
          <w:color w:val="000000"/>
          <w:spacing w:val="8"/>
          <w:sz w:val="32"/>
          <w:szCs w:val="32"/>
          <w:lang w:val="en-US" w:eastAsia="zh-CN" w:bidi="ar-SA"/>
        </w:rPr>
        <w:t>拟</w:t>
      </w:r>
      <w:r>
        <w:rPr>
          <w:rFonts w:hint="eastAsia" w:ascii="仿宋_GB2312" w:hAnsi="Arial" w:eastAsia="仿宋_GB2312" w:cs="Arial"/>
          <w:bCs/>
          <w:snapToGrid w:val="0"/>
          <w:color w:val="000000"/>
          <w:spacing w:val="8"/>
          <w:sz w:val="32"/>
          <w:szCs w:val="32"/>
          <w:lang w:val="en-AU" w:eastAsia="zh-CN" w:bidi="ar-SA"/>
        </w:rPr>
        <w:t>通过系统筛选多维标志物并构建静脉血栓</w:t>
      </w:r>
      <w:r>
        <w:rPr>
          <w:rFonts w:hint="eastAsia" w:ascii="仿宋_GB2312" w:hAnsi="Arial" w:eastAsia="仿宋_GB2312" w:cs="Arial"/>
          <w:bCs/>
          <w:snapToGrid w:val="0"/>
          <w:color w:val="000000"/>
          <w:spacing w:val="8"/>
          <w:sz w:val="32"/>
          <w:szCs w:val="32"/>
          <w:lang w:val="en-US" w:eastAsia="zh-CN" w:bidi="ar-SA"/>
        </w:rPr>
        <w:t>形成</w:t>
      </w:r>
      <w:r>
        <w:rPr>
          <w:rFonts w:hint="eastAsia" w:ascii="仿宋_GB2312" w:hAnsi="Arial" w:eastAsia="仿宋_GB2312" w:cs="Arial"/>
          <w:bCs/>
          <w:snapToGrid w:val="0"/>
          <w:color w:val="000000"/>
          <w:spacing w:val="8"/>
          <w:sz w:val="32"/>
          <w:szCs w:val="32"/>
          <w:lang w:val="en-AU" w:eastAsia="zh-CN" w:bidi="ar-SA"/>
        </w:rPr>
        <w:t>风险评估与早期诊断模型，</w:t>
      </w:r>
      <w:r>
        <w:rPr>
          <w:rFonts w:hint="eastAsia" w:ascii="仿宋_GB2312" w:hAnsi="Arial" w:eastAsia="仿宋_GB2312" w:cs="Arial"/>
          <w:bCs/>
          <w:snapToGrid w:val="0"/>
          <w:color w:val="000000"/>
          <w:spacing w:val="8"/>
          <w:sz w:val="32"/>
          <w:szCs w:val="32"/>
          <w:lang w:val="en-US" w:eastAsia="zh-CN" w:bidi="ar-SA"/>
        </w:rPr>
        <w:t>以期</w:t>
      </w:r>
      <w:r>
        <w:rPr>
          <w:rFonts w:hint="eastAsia" w:ascii="仿宋_GB2312" w:hAnsi="Arial" w:eastAsia="仿宋_GB2312" w:cs="Arial"/>
          <w:bCs/>
          <w:snapToGrid w:val="0"/>
          <w:color w:val="000000"/>
          <w:spacing w:val="8"/>
          <w:sz w:val="32"/>
          <w:szCs w:val="32"/>
          <w:lang w:val="en-AU" w:eastAsia="zh-CN" w:bidi="ar-SA"/>
        </w:rPr>
        <w:t>提升诊断效率与预测准确性。</w:t>
      </w:r>
    </w:p>
    <w:p w14:paraId="7D30A82C">
      <w:pPr>
        <w:pStyle w:val="4"/>
        <w:keepNext w:val="0"/>
        <w:keepLines w:val="0"/>
        <w:pageBreakBefore w:val="0"/>
        <w:wordWrap/>
        <w:overflowPunct/>
        <w:topLinePunct w:val="0"/>
        <w:bidi w:val="0"/>
        <w:spacing w:line="520" w:lineRule="exact"/>
        <w:ind w:right="17"/>
        <w:jc w:val="left"/>
        <w:rPr>
          <w:rFonts w:hint="eastAsia" w:ascii="仿宋_GB2312" w:hAnsi="Arial" w:eastAsia="仿宋_GB2312" w:cs="Arial"/>
          <w:b/>
          <w:bCs w:val="0"/>
          <w:snapToGrid w:val="0"/>
          <w:color w:val="000000"/>
          <w:spacing w:val="8"/>
          <w:sz w:val="32"/>
          <w:szCs w:val="32"/>
          <w:lang w:val="en-AU" w:eastAsia="zh-CN" w:bidi="ar-SA"/>
        </w:rPr>
      </w:pPr>
      <w:r>
        <w:rPr>
          <w:rFonts w:hint="eastAsia" w:ascii="仿宋_GB2312" w:hAnsi="Arial" w:eastAsia="仿宋_GB2312" w:cs="Arial"/>
          <w:b/>
          <w:bCs w:val="0"/>
          <w:snapToGrid w:val="0"/>
          <w:color w:val="000000"/>
          <w:spacing w:val="8"/>
          <w:sz w:val="32"/>
          <w:szCs w:val="32"/>
          <w:lang w:val="en-AU" w:eastAsia="zh-CN" w:bidi="ar-SA"/>
        </w:rPr>
        <w:t>三、项目考核指标（项目执行期内）</w:t>
      </w:r>
    </w:p>
    <w:p w14:paraId="5069AA24">
      <w:pPr>
        <w:pStyle w:val="4"/>
        <w:keepNext w:val="0"/>
        <w:keepLines w:val="0"/>
        <w:pageBreakBefore w:val="0"/>
        <w:wordWrap/>
        <w:overflowPunct/>
        <w:topLinePunct w:val="0"/>
        <w:bidi w:val="0"/>
        <w:spacing w:line="520" w:lineRule="exact"/>
        <w:ind w:right="19" w:firstLine="672" w:firstLineChars="200"/>
        <w:jc w:val="both"/>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Cs/>
          <w:snapToGrid w:val="0"/>
          <w:color w:val="000000"/>
          <w:spacing w:val="8"/>
          <w:sz w:val="32"/>
          <w:szCs w:val="32"/>
          <w:lang w:val="en-AU" w:eastAsia="zh-CN" w:bidi="ar-SA"/>
        </w:rPr>
        <w:t>（一）学术指标：</w:t>
      </w:r>
      <w:r>
        <w:rPr>
          <w:rFonts w:hint="eastAsia" w:ascii="仿宋_GB2312" w:hAnsi="Arial" w:eastAsia="仿宋_GB2312" w:cs="Arial"/>
          <w:bCs/>
          <w:snapToGrid w:val="0"/>
          <w:color w:val="000000"/>
          <w:spacing w:val="8"/>
          <w:sz w:val="32"/>
          <w:szCs w:val="32"/>
          <w:lang w:val="en-US" w:eastAsia="zh-CN" w:bidi="ar-SA"/>
        </w:rPr>
        <w:t>共同</w:t>
      </w:r>
      <w:r>
        <w:rPr>
          <w:rFonts w:hint="eastAsia" w:ascii="仿宋_GB2312" w:hAnsi="Arial" w:eastAsia="仿宋_GB2312" w:cs="Arial"/>
          <w:bCs/>
          <w:snapToGrid w:val="0"/>
          <w:color w:val="000000"/>
          <w:spacing w:val="8"/>
          <w:sz w:val="32"/>
          <w:szCs w:val="32"/>
          <w:lang w:val="en-AU" w:eastAsia="zh-CN" w:bidi="ar-SA"/>
        </w:rPr>
        <w:t>发表中文或SCI论文≥</w:t>
      </w:r>
      <w:r>
        <w:rPr>
          <w:rFonts w:hint="eastAsia" w:ascii="仿宋_GB2312" w:hAnsi="Arial" w:eastAsia="仿宋_GB2312" w:cs="Arial"/>
          <w:bCs/>
          <w:snapToGrid w:val="0"/>
          <w:color w:val="000000"/>
          <w:spacing w:val="8"/>
          <w:sz w:val="32"/>
          <w:szCs w:val="32"/>
          <w:lang w:val="en-US" w:eastAsia="zh-CN" w:bidi="ar-SA"/>
        </w:rPr>
        <w:t>1</w:t>
      </w:r>
      <w:r>
        <w:rPr>
          <w:rFonts w:hint="eastAsia" w:ascii="仿宋_GB2312" w:hAnsi="Arial" w:eastAsia="仿宋_GB2312" w:cs="Arial"/>
          <w:bCs/>
          <w:snapToGrid w:val="0"/>
          <w:color w:val="000000"/>
          <w:spacing w:val="8"/>
          <w:sz w:val="32"/>
          <w:szCs w:val="32"/>
          <w:lang w:val="en-AU" w:eastAsia="zh-CN" w:bidi="ar-SA"/>
        </w:rPr>
        <w:t>篇。</w:t>
      </w:r>
    </w:p>
    <w:p w14:paraId="5CAEF567">
      <w:pPr>
        <w:pStyle w:val="4"/>
        <w:keepNext w:val="0"/>
        <w:keepLines w:val="0"/>
        <w:pageBreakBefore w:val="0"/>
        <w:wordWrap/>
        <w:overflowPunct/>
        <w:topLinePunct w:val="0"/>
        <w:bidi w:val="0"/>
        <w:spacing w:line="520" w:lineRule="exact"/>
        <w:ind w:right="19" w:firstLine="672" w:firstLineChars="200"/>
        <w:jc w:val="both"/>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Cs/>
          <w:snapToGrid w:val="0"/>
          <w:color w:val="000000"/>
          <w:spacing w:val="8"/>
          <w:sz w:val="32"/>
          <w:szCs w:val="32"/>
          <w:lang w:val="en-AU" w:eastAsia="zh-CN" w:bidi="ar-SA"/>
        </w:rPr>
        <w:t>（</w:t>
      </w:r>
      <w:r>
        <w:rPr>
          <w:rFonts w:hint="eastAsia" w:ascii="仿宋_GB2312" w:hAnsi="Arial" w:eastAsia="仿宋_GB2312" w:cs="Arial"/>
          <w:bCs/>
          <w:snapToGrid w:val="0"/>
          <w:color w:val="000000"/>
          <w:spacing w:val="8"/>
          <w:sz w:val="32"/>
          <w:szCs w:val="32"/>
          <w:lang w:val="en-US" w:eastAsia="zh-CN" w:bidi="ar-SA"/>
        </w:rPr>
        <w:t>二</w:t>
      </w:r>
      <w:r>
        <w:rPr>
          <w:rFonts w:hint="eastAsia" w:ascii="仿宋_GB2312" w:hAnsi="Arial" w:eastAsia="仿宋_GB2312" w:cs="Arial"/>
          <w:bCs/>
          <w:snapToGrid w:val="0"/>
          <w:color w:val="000000"/>
          <w:spacing w:val="8"/>
          <w:sz w:val="32"/>
          <w:szCs w:val="32"/>
          <w:lang w:val="en-AU" w:eastAsia="zh-CN" w:bidi="ar-SA"/>
        </w:rPr>
        <w:t>）</w:t>
      </w:r>
      <w:r>
        <w:rPr>
          <w:rFonts w:hint="eastAsia" w:ascii="仿宋_GB2312" w:hAnsi="Arial" w:eastAsia="仿宋_GB2312" w:cs="Arial"/>
          <w:bCs/>
          <w:snapToGrid w:val="0"/>
          <w:color w:val="000000"/>
          <w:spacing w:val="8"/>
          <w:sz w:val="32"/>
          <w:szCs w:val="32"/>
          <w:lang w:val="en-US" w:eastAsia="zh-CN" w:bidi="ar-SA"/>
        </w:rPr>
        <w:t>技术</w:t>
      </w:r>
      <w:r>
        <w:rPr>
          <w:rFonts w:hint="eastAsia" w:ascii="仿宋_GB2312" w:hAnsi="Arial" w:eastAsia="仿宋_GB2312" w:cs="Arial"/>
          <w:bCs/>
          <w:snapToGrid w:val="0"/>
          <w:color w:val="000000"/>
          <w:spacing w:val="8"/>
          <w:sz w:val="32"/>
          <w:szCs w:val="32"/>
          <w:lang w:val="en-AU" w:eastAsia="zh-CN" w:bidi="ar-SA"/>
        </w:rPr>
        <w:t>指标：</w:t>
      </w:r>
    </w:p>
    <w:p w14:paraId="2A17EE61">
      <w:pPr>
        <w:pStyle w:val="4"/>
        <w:keepNext w:val="0"/>
        <w:keepLines w:val="0"/>
        <w:pageBreakBefore w:val="0"/>
        <w:wordWrap/>
        <w:overflowPunct/>
        <w:topLinePunct w:val="0"/>
        <w:bidi w:val="0"/>
        <w:spacing w:line="520" w:lineRule="exact"/>
        <w:ind w:right="17" w:firstLine="672" w:firstLineChars="200"/>
        <w:jc w:val="left"/>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Cs/>
          <w:snapToGrid w:val="0"/>
          <w:color w:val="000000"/>
          <w:spacing w:val="8"/>
          <w:sz w:val="32"/>
          <w:szCs w:val="32"/>
          <w:lang w:val="en-US" w:eastAsia="zh-CN" w:bidi="ar-SA"/>
        </w:rPr>
        <w:t>1.</w:t>
      </w:r>
      <w:r>
        <w:rPr>
          <w:rFonts w:hint="eastAsia" w:ascii="仿宋_GB2312" w:hAnsi="Arial" w:eastAsia="仿宋_GB2312" w:cs="Arial"/>
          <w:bCs/>
          <w:snapToGrid w:val="0"/>
          <w:color w:val="000000"/>
          <w:spacing w:val="8"/>
          <w:sz w:val="32"/>
          <w:szCs w:val="32"/>
          <w:lang w:val="en-AU" w:eastAsia="zh-CN" w:bidi="ar-SA"/>
        </w:rPr>
        <w:t>本研究将采集静脉血栓确诊组、疑似组及健康对照组血液样本各≥30例；</w:t>
      </w:r>
    </w:p>
    <w:p w14:paraId="41867ADB">
      <w:pPr>
        <w:pStyle w:val="4"/>
        <w:keepNext w:val="0"/>
        <w:keepLines w:val="0"/>
        <w:pageBreakBefore w:val="0"/>
        <w:wordWrap/>
        <w:overflowPunct/>
        <w:topLinePunct w:val="0"/>
        <w:bidi w:val="0"/>
        <w:spacing w:line="520" w:lineRule="exact"/>
        <w:ind w:right="17" w:firstLine="672" w:firstLineChars="200"/>
        <w:jc w:val="left"/>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Cs/>
          <w:snapToGrid w:val="0"/>
          <w:color w:val="000000"/>
          <w:spacing w:val="8"/>
          <w:sz w:val="32"/>
          <w:szCs w:val="32"/>
          <w:lang w:val="en-US" w:eastAsia="zh-CN" w:bidi="ar-SA"/>
        </w:rPr>
        <w:t>2.</w:t>
      </w:r>
      <w:r>
        <w:rPr>
          <w:rFonts w:hint="eastAsia" w:ascii="仿宋_GB2312" w:hAnsi="Arial" w:eastAsia="仿宋_GB2312" w:cs="Arial"/>
          <w:bCs/>
          <w:snapToGrid w:val="0"/>
          <w:color w:val="000000"/>
          <w:spacing w:val="8"/>
          <w:sz w:val="32"/>
          <w:szCs w:val="32"/>
          <w:lang w:val="en-AU" w:eastAsia="zh-CN" w:bidi="ar-SA"/>
        </w:rPr>
        <w:t>检测凝血功能、血栓指标、炎症标志物及静脉血栓风险评分等多维生物标志物，构建静脉血栓风险评估与早期诊断模型，形成</w:t>
      </w:r>
      <w:r>
        <w:rPr>
          <w:rFonts w:hint="eastAsia" w:ascii="仿宋_GB2312" w:hAnsi="Arial" w:eastAsia="仿宋_GB2312" w:cs="Arial"/>
          <w:bCs/>
          <w:snapToGrid w:val="0"/>
          <w:color w:val="000000"/>
          <w:spacing w:val="8"/>
          <w:sz w:val="32"/>
          <w:szCs w:val="32"/>
          <w:lang w:val="en-US" w:eastAsia="zh-CN" w:bidi="ar-SA"/>
        </w:rPr>
        <w:t>项目</w:t>
      </w:r>
      <w:r>
        <w:rPr>
          <w:rFonts w:hint="eastAsia" w:ascii="仿宋_GB2312" w:hAnsi="Arial" w:eastAsia="仿宋_GB2312" w:cs="Arial"/>
          <w:bCs/>
          <w:snapToGrid w:val="0"/>
          <w:color w:val="000000"/>
          <w:spacing w:val="8"/>
          <w:sz w:val="32"/>
          <w:szCs w:val="32"/>
          <w:lang w:val="en-AU" w:eastAsia="zh-CN" w:bidi="ar-SA"/>
        </w:rPr>
        <w:t>评估报告≥1份。</w:t>
      </w:r>
    </w:p>
    <w:p w14:paraId="4FF0166D">
      <w:pPr>
        <w:pStyle w:val="4"/>
        <w:keepNext w:val="0"/>
        <w:keepLines w:val="0"/>
        <w:pageBreakBefore w:val="0"/>
        <w:wordWrap/>
        <w:overflowPunct/>
        <w:topLinePunct w:val="0"/>
        <w:bidi w:val="0"/>
        <w:spacing w:line="520" w:lineRule="exact"/>
        <w:ind w:right="17"/>
        <w:jc w:val="left"/>
        <w:rPr>
          <w:rFonts w:hint="eastAsia" w:ascii="仿宋_GB2312" w:hAnsi="Arial" w:eastAsia="仿宋_GB2312" w:cs="Arial"/>
          <w:bCs/>
          <w:snapToGrid w:val="0"/>
          <w:color w:val="000000"/>
          <w:spacing w:val="8"/>
          <w:sz w:val="32"/>
          <w:szCs w:val="32"/>
          <w:lang w:val="en-AU" w:eastAsia="zh-CN" w:bidi="ar-SA"/>
        </w:rPr>
      </w:pPr>
      <w:r>
        <w:rPr>
          <w:rFonts w:hint="eastAsia" w:ascii="仿宋_GB2312" w:hAnsi="Arial" w:eastAsia="仿宋_GB2312" w:cs="Arial"/>
          <w:b/>
          <w:bCs w:val="0"/>
          <w:snapToGrid w:val="0"/>
          <w:color w:val="000000"/>
          <w:spacing w:val="8"/>
          <w:sz w:val="32"/>
          <w:szCs w:val="32"/>
          <w:lang w:val="en-AU" w:eastAsia="zh-CN" w:bidi="ar-SA"/>
        </w:rPr>
        <w:t>四、项目实施年限：</w:t>
      </w:r>
      <w:r>
        <w:rPr>
          <w:rFonts w:hint="eastAsia" w:ascii="仿宋_GB2312" w:hAnsi="Arial" w:eastAsia="仿宋_GB2312" w:cs="Arial"/>
          <w:bCs/>
          <w:snapToGrid w:val="0"/>
          <w:color w:val="000000"/>
          <w:spacing w:val="8"/>
          <w:sz w:val="32"/>
          <w:szCs w:val="32"/>
          <w:lang w:val="en-AU" w:eastAsia="zh-CN" w:bidi="ar-SA"/>
        </w:rPr>
        <w:t>不超过2年</w:t>
      </w:r>
    </w:p>
    <w:p w14:paraId="6E456FF1">
      <w:pPr>
        <w:keepNext w:val="0"/>
        <w:keepLines w:val="0"/>
        <w:pageBreakBefore w:val="0"/>
        <w:wordWrap/>
        <w:overflowPunct/>
        <w:topLinePunct w:val="0"/>
        <w:bidi w:val="0"/>
        <w:spacing w:line="520" w:lineRule="exact"/>
        <w:ind w:right="248"/>
        <w:jc w:val="left"/>
        <w:outlineLvl w:val="0"/>
        <w:rPr>
          <w:rFonts w:hint="eastAsia" w:ascii="仿宋_GB2312" w:hAnsi="Arial" w:eastAsia="仿宋_GB2312" w:cs="Arial"/>
          <w:bCs/>
          <w:snapToGrid w:val="0"/>
          <w:color w:val="000000"/>
          <w:spacing w:val="8"/>
          <w:sz w:val="32"/>
          <w:szCs w:val="32"/>
          <w:lang w:val="en-AU" w:eastAsia="zh-CN" w:bidi="ar-SA"/>
        </w:rPr>
      </w:pPr>
      <w:bookmarkStart w:id="14" w:name="_Toc31382"/>
      <w:bookmarkStart w:id="15" w:name="_Toc8382"/>
      <w:r>
        <w:rPr>
          <w:rFonts w:hint="eastAsia" w:ascii="仿宋_GB2312" w:hAnsi="Arial" w:eastAsia="仿宋_GB2312" w:cs="Arial"/>
          <w:b/>
          <w:bCs w:val="0"/>
          <w:snapToGrid w:val="0"/>
          <w:color w:val="000000"/>
          <w:spacing w:val="8"/>
          <w:sz w:val="32"/>
          <w:szCs w:val="32"/>
          <w:lang w:val="en-AU" w:eastAsia="zh-CN" w:bidi="ar-SA"/>
        </w:rPr>
        <w:t>五、资助金额：</w:t>
      </w:r>
      <w:r>
        <w:rPr>
          <w:rFonts w:hint="eastAsia" w:ascii="仿宋_GB2312" w:hAnsi="Arial" w:eastAsia="仿宋_GB2312" w:cs="Arial"/>
          <w:bCs/>
          <w:snapToGrid w:val="0"/>
          <w:color w:val="000000"/>
          <w:spacing w:val="8"/>
          <w:sz w:val="32"/>
          <w:szCs w:val="32"/>
          <w:lang w:val="en-AU" w:eastAsia="zh-CN" w:bidi="ar-SA"/>
        </w:rPr>
        <w:t>不超过</w:t>
      </w:r>
      <w:r>
        <w:rPr>
          <w:rFonts w:hint="eastAsia" w:ascii="仿宋_GB2312" w:hAnsi="Arial" w:eastAsia="仿宋_GB2312" w:cs="Arial"/>
          <w:bCs/>
          <w:snapToGrid w:val="0"/>
          <w:color w:val="000000"/>
          <w:spacing w:val="8"/>
          <w:sz w:val="32"/>
          <w:szCs w:val="32"/>
          <w:lang w:val="en-US" w:eastAsia="zh-CN" w:bidi="ar-SA"/>
        </w:rPr>
        <w:t>1</w:t>
      </w:r>
      <w:r>
        <w:rPr>
          <w:rFonts w:hint="eastAsia" w:ascii="仿宋_GB2312" w:hAnsi="Arial" w:eastAsia="仿宋_GB2312" w:cs="Arial"/>
          <w:bCs/>
          <w:snapToGrid w:val="0"/>
          <w:color w:val="000000"/>
          <w:spacing w:val="8"/>
          <w:sz w:val="32"/>
          <w:szCs w:val="32"/>
          <w:lang w:val="en-AU" w:eastAsia="zh-CN" w:bidi="ar-SA"/>
        </w:rPr>
        <w:t>0万元</w:t>
      </w:r>
      <w:bookmarkEnd w:id="14"/>
      <w:bookmarkEnd w:id="15"/>
    </w:p>
    <w:p w14:paraId="18C713C0">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26BA264">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53AE8D77">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3CE6C4D1">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7140D151">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649F0A6A">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445C0598">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val="0"/>
          <w:bCs w:val="0"/>
          <w:sz w:val="44"/>
          <w:szCs w:val="44"/>
          <w:lang w:eastAsia="zh-CN"/>
        </w:rPr>
      </w:pPr>
      <w:bookmarkStart w:id="16" w:name="_Toc3630"/>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15</w:t>
      </w:r>
      <w:r>
        <w:rPr>
          <w:rFonts w:hint="eastAsia" w:ascii="方正小标宋简体" w:hAnsi="方正小标宋简体" w:eastAsia="方正小标宋简体" w:cs="方正小标宋简体"/>
          <w:b w:val="0"/>
          <w:bCs w:val="0"/>
          <w:sz w:val="44"/>
          <w:szCs w:val="44"/>
          <w:lang w:eastAsia="zh-CN"/>
        </w:rPr>
        <w:t xml:space="preserve"> 基于大语言模型的报告审核智能体构建及临床应用研究</w:t>
      </w:r>
      <w:bookmarkEnd w:id="16"/>
    </w:p>
    <w:p w14:paraId="2E804D50">
      <w:pPr>
        <w:keepNext w:val="0"/>
        <w:keepLines w:val="0"/>
        <w:pageBreakBefore w:val="0"/>
        <w:wordWrap/>
        <w:overflowPunct/>
        <w:topLinePunct w:val="0"/>
        <w:bidi w:val="0"/>
        <w:spacing w:line="520" w:lineRule="exact"/>
        <w:jc w:val="both"/>
        <w:rPr>
          <w:rFonts w:hint="eastAsia" w:ascii="方正小标宋简体" w:hAnsi="方正小标宋简体" w:eastAsia="方正小标宋简体" w:cs="方正小标宋简体"/>
          <w:b/>
          <w:bCs/>
          <w:sz w:val="44"/>
          <w:szCs w:val="44"/>
          <w:lang w:eastAsia="zh-CN"/>
        </w:rPr>
      </w:pPr>
    </w:p>
    <w:p w14:paraId="41D703D1">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val="0"/>
          <w:spacing w:val="8"/>
          <w:sz w:val="32"/>
          <w:szCs w:val="32"/>
          <w:lang w:eastAsia="zh-CN"/>
        </w:rPr>
        <w:t>一、领域：</w:t>
      </w:r>
      <w:r>
        <w:rPr>
          <w:rFonts w:hint="eastAsia" w:ascii="仿宋_GB2312" w:hAnsi="仿宋_GB2312" w:eastAsia="仿宋_GB2312" w:cs="仿宋_GB2312"/>
          <w:spacing w:val="8"/>
          <w:sz w:val="32"/>
          <w:szCs w:val="32"/>
          <w:lang w:eastAsia="zh-CN"/>
        </w:rPr>
        <w:t>检验医学人工智能</w:t>
      </w:r>
    </w:p>
    <w:p w14:paraId="5ADFE480">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val="0"/>
          <w:spacing w:val="8"/>
          <w:sz w:val="32"/>
          <w:szCs w:val="32"/>
          <w:lang w:eastAsia="zh-CN"/>
        </w:rPr>
      </w:pPr>
      <w:r>
        <w:rPr>
          <w:rFonts w:hint="eastAsia" w:ascii="仿宋_GB2312" w:hAnsi="仿宋_GB2312" w:eastAsia="仿宋_GB2312" w:cs="仿宋_GB2312"/>
          <w:b/>
          <w:bCs w:val="0"/>
          <w:spacing w:val="8"/>
          <w:sz w:val="32"/>
          <w:szCs w:val="32"/>
          <w:lang w:eastAsia="zh-CN"/>
        </w:rPr>
        <w:t>二、主要研究内容</w:t>
      </w:r>
    </w:p>
    <w:p w14:paraId="0CC98275">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一</w:t>
      </w:r>
      <w:r>
        <w:rPr>
          <w:rFonts w:hint="eastAsia" w:ascii="仿宋_GB2312" w:hAnsi="仿宋_GB2312" w:eastAsia="仿宋_GB2312" w:cs="仿宋_GB2312"/>
          <w:spacing w:val="8"/>
          <w:sz w:val="32"/>
          <w:szCs w:val="32"/>
          <w:lang w:eastAsia="zh-CN"/>
        </w:rPr>
        <w:t>）构建一套基于检索增强生成检验垂直大语言模型的检验报告审核智能体并开展多中心临床验证。通过分阶段递进式非干预临床研究，纳入完成生化、免疫、凝血 12 类常规套餐检测的门诊及住院成年患者脱敏检验数据与配套临床信息，依托历史回顾样本完成模型离线性能初评，搭建标准化检验AI评测数据集；</w:t>
      </w:r>
    </w:p>
    <w:p w14:paraId="57B346F5">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二</w:t>
      </w:r>
      <w:r>
        <w:rPr>
          <w:rFonts w:hint="eastAsia" w:ascii="仿宋_GB2312" w:hAnsi="仿宋_GB2312" w:eastAsia="仿宋_GB2312" w:cs="仿宋_GB2312"/>
          <w:spacing w:val="8"/>
          <w:sz w:val="32"/>
          <w:szCs w:val="32"/>
          <w:lang w:eastAsia="zh-CN"/>
        </w:rPr>
        <w:t>）在多家三甲医院对接实验室信息系统开展前瞻性真实场景应用，以资深检验专家人工审核结果为金标准，围绕风险样本识别、审核建议采纳、报告周转效率等维度评估智能体性能，同步联合多中心专家完成疑难样本标注，评估检验审核智能体在多疾病与人群中的泛化应用研究及在真实世界的效能提升。</w:t>
      </w:r>
    </w:p>
    <w:p w14:paraId="32B965BC">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b/>
          <w:bCs w:val="0"/>
          <w:spacing w:val="8"/>
          <w:sz w:val="32"/>
          <w:szCs w:val="32"/>
          <w:lang w:eastAsia="zh-CN"/>
        </w:rPr>
      </w:pPr>
      <w:r>
        <w:rPr>
          <w:rFonts w:hint="eastAsia" w:ascii="仿宋_GB2312" w:hAnsi="仿宋_GB2312" w:eastAsia="仿宋_GB2312" w:cs="仿宋_GB2312"/>
          <w:b/>
          <w:bCs w:val="0"/>
          <w:spacing w:val="8"/>
          <w:sz w:val="32"/>
          <w:szCs w:val="32"/>
          <w:lang w:eastAsia="zh-CN"/>
        </w:rPr>
        <w:t>三、项目考核指标（项目执行期内）</w:t>
      </w:r>
    </w:p>
    <w:p w14:paraId="0CD89351">
      <w:pPr>
        <w:pStyle w:val="4"/>
        <w:keepNext w:val="0"/>
        <w:keepLines w:val="0"/>
        <w:pageBreakBefore w:val="0"/>
        <w:wordWrap/>
        <w:overflowPunct/>
        <w:topLinePunct w:val="0"/>
        <w:bidi w:val="0"/>
        <w:spacing w:line="520" w:lineRule="exact"/>
        <w:ind w:right="19" w:firstLine="504" w:firstLineChars="15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（一）学术指标：共同发表中文或SCI论文≥1篇。</w:t>
      </w:r>
    </w:p>
    <w:p w14:paraId="657D5945">
      <w:pPr>
        <w:pStyle w:val="4"/>
        <w:keepNext w:val="0"/>
        <w:keepLines w:val="0"/>
        <w:pageBreakBefore w:val="0"/>
        <w:wordWrap/>
        <w:overflowPunct/>
        <w:topLinePunct w:val="0"/>
        <w:bidi w:val="0"/>
        <w:spacing w:line="520" w:lineRule="exact"/>
        <w:ind w:right="19" w:firstLine="504" w:firstLineChars="15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（二）技术指标：</w:t>
      </w:r>
    </w:p>
    <w:p w14:paraId="2EC87CF0">
      <w:pPr>
        <w:pStyle w:val="4"/>
        <w:keepNext w:val="0"/>
        <w:keepLines w:val="0"/>
        <w:pageBreakBefore w:val="0"/>
        <w:wordWrap/>
        <w:overflowPunct/>
        <w:topLinePunct w:val="0"/>
        <w:bidi w:val="0"/>
        <w:spacing w:line="520" w:lineRule="exact"/>
        <w:ind w:right="19" w:firstLine="672" w:firstLineChars="200"/>
        <w:jc w:val="both"/>
        <w:rPr>
          <w:rFonts w:hint="eastAsia" w:ascii="仿宋_GB2312" w:hAnsi="仿宋_GB2312" w:eastAsia="仿宋_GB2312" w:cs="仿宋_GB2312"/>
          <w:color w:val="auto"/>
          <w:spacing w:val="8"/>
          <w:sz w:val="32"/>
          <w:szCs w:val="32"/>
          <w:lang w:eastAsia="zh-CN"/>
        </w:rPr>
      </w:pPr>
      <w:r>
        <w:rPr>
          <w:rFonts w:hint="eastAsia" w:ascii="仿宋_GB2312" w:hAnsi="仿宋_GB2312" w:eastAsia="仿宋_GB2312" w:cs="仿宋_GB2312"/>
          <w:spacing w:val="8"/>
          <w:sz w:val="32"/>
          <w:szCs w:val="32"/>
          <w:lang w:eastAsia="zh-CN"/>
        </w:rPr>
        <w:t>搭建标准化检验AI评测数据集，形成≥1 份完整多中心临床研究评</w:t>
      </w:r>
      <w:r>
        <w:rPr>
          <w:rFonts w:hint="eastAsia" w:ascii="仿宋_GB2312" w:hAnsi="仿宋_GB2312" w:eastAsia="仿宋_GB2312" w:cs="仿宋_GB2312"/>
          <w:color w:val="auto"/>
          <w:spacing w:val="8"/>
          <w:sz w:val="32"/>
          <w:szCs w:val="32"/>
          <w:lang w:eastAsia="zh-CN"/>
        </w:rPr>
        <w:t>估报告。</w:t>
      </w:r>
    </w:p>
    <w:p w14:paraId="33AD81FF">
      <w:pPr>
        <w:pStyle w:val="4"/>
        <w:keepNext w:val="0"/>
        <w:keepLines w:val="0"/>
        <w:pageBreakBefore w:val="0"/>
        <w:wordWrap/>
        <w:overflowPunct/>
        <w:topLinePunct w:val="0"/>
        <w:bidi w:val="0"/>
        <w:spacing w:line="520" w:lineRule="exact"/>
        <w:ind w:right="19"/>
        <w:jc w:val="both"/>
        <w:rPr>
          <w:rFonts w:hint="eastAsia" w:ascii="仿宋_GB2312" w:hAnsi="仿宋_GB2312" w:eastAsia="仿宋_GB2312" w:cs="仿宋_GB2312"/>
          <w:color w:val="auto"/>
          <w:spacing w:val="8"/>
          <w:sz w:val="32"/>
          <w:szCs w:val="32"/>
          <w:lang w:eastAsia="zh-CN"/>
        </w:rPr>
      </w:pPr>
      <w:r>
        <w:rPr>
          <w:rFonts w:hint="eastAsia" w:ascii="仿宋_GB2312" w:hAnsi="仿宋_GB2312" w:eastAsia="仿宋_GB2312" w:cs="仿宋_GB2312"/>
          <w:b/>
          <w:bCs w:val="0"/>
          <w:color w:val="auto"/>
          <w:spacing w:val="8"/>
          <w:sz w:val="32"/>
          <w:szCs w:val="32"/>
          <w:lang w:eastAsia="zh-CN"/>
        </w:rPr>
        <w:t>四、项目实施年限：</w:t>
      </w:r>
      <w:r>
        <w:rPr>
          <w:rFonts w:hint="eastAsia" w:ascii="仿宋_GB2312" w:hAnsi="仿宋_GB2312" w:eastAsia="仿宋_GB2312" w:cs="仿宋_GB2312"/>
          <w:color w:val="auto"/>
          <w:spacing w:val="8"/>
          <w:sz w:val="32"/>
          <w:szCs w:val="32"/>
          <w:lang w:eastAsia="zh-CN"/>
        </w:rPr>
        <w:t>不超过2年</w:t>
      </w:r>
    </w:p>
    <w:p w14:paraId="18286145">
      <w:pPr>
        <w:pStyle w:val="4"/>
        <w:keepNext w:val="0"/>
        <w:keepLines w:val="0"/>
        <w:pageBreakBefore w:val="0"/>
        <w:wordWrap/>
        <w:overflowPunct/>
        <w:topLinePunct w:val="0"/>
        <w:bidi w:val="0"/>
        <w:spacing w:line="520" w:lineRule="exact"/>
        <w:ind w:right="19"/>
        <w:jc w:val="both"/>
        <w:rPr>
          <w:rFonts w:hint="default" w:ascii="仿宋_GB2312" w:hAnsi="仿宋_GB2312" w:eastAsia="仿宋_GB2312" w:cs="仿宋_GB2312"/>
          <w:color w:val="auto"/>
          <w:spacing w:val="8"/>
          <w:sz w:val="32"/>
          <w:szCs w:val="32"/>
          <w:lang w:val="en-US" w:eastAsia="zh-CN"/>
        </w:rPr>
      </w:pPr>
      <w:r>
        <w:rPr>
          <w:rFonts w:hint="eastAsia" w:ascii="仿宋_GB2312" w:hAnsi="仿宋_GB2312" w:eastAsia="仿宋_GB2312" w:cs="仿宋_GB2312"/>
          <w:b/>
          <w:bCs w:val="0"/>
          <w:color w:val="auto"/>
          <w:spacing w:val="8"/>
          <w:sz w:val="32"/>
          <w:szCs w:val="32"/>
          <w:lang w:eastAsia="zh-CN"/>
        </w:rPr>
        <w:t>五、资助金额：</w:t>
      </w:r>
      <w:r>
        <w:rPr>
          <w:rFonts w:hint="eastAsia" w:ascii="仿宋_GB2312" w:hAnsi="仿宋_GB2312" w:eastAsia="仿宋_GB2312" w:cs="仿宋_GB2312"/>
          <w:color w:val="auto"/>
          <w:spacing w:val="8"/>
          <w:sz w:val="32"/>
          <w:szCs w:val="32"/>
          <w:lang w:val="en-US" w:eastAsia="zh-CN"/>
        </w:rPr>
        <w:t>不超过10万元</w:t>
      </w:r>
    </w:p>
    <w:p w14:paraId="0AA863CD">
      <w:pPr>
        <w:keepNext w:val="0"/>
        <w:keepLines w:val="0"/>
        <w:pageBreakBefore w:val="0"/>
        <w:wordWrap/>
        <w:overflowPunct/>
        <w:topLinePunct w:val="0"/>
        <w:bidi w:val="0"/>
        <w:spacing w:line="520" w:lineRule="exact"/>
      </w:pPr>
    </w:p>
    <w:p w14:paraId="1FAC3165">
      <w:pPr>
        <w:pStyle w:val="4"/>
        <w:keepNext w:val="0"/>
        <w:keepLines w:val="0"/>
        <w:pageBreakBefore w:val="0"/>
        <w:wordWrap/>
        <w:overflowPunct/>
        <w:topLinePunct w:val="0"/>
        <w:bidi w:val="0"/>
        <w:spacing w:line="520" w:lineRule="exact"/>
        <w:ind w:right="17"/>
        <w:jc w:val="both"/>
        <w:rPr>
          <w:rFonts w:hint="eastAsia" w:ascii="方正小标宋简体" w:hAnsi="方正小标宋简体" w:eastAsia="方正小标宋简体" w:cs="方正小标宋简体"/>
          <w:b w:val="0"/>
          <w:bCs w:val="0"/>
          <w:spacing w:val="8"/>
          <w:sz w:val="44"/>
          <w:szCs w:val="44"/>
          <w:lang w:eastAsia="zh-CN"/>
        </w:rPr>
      </w:pPr>
    </w:p>
    <w:p w14:paraId="1B5F1716">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spacing w:val="8"/>
          <w:sz w:val="44"/>
          <w:szCs w:val="44"/>
          <w:lang w:eastAsia="zh-CN"/>
        </w:rPr>
      </w:pPr>
      <w:bookmarkStart w:id="17" w:name="_Toc8225"/>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16 </w:t>
      </w:r>
      <w:r>
        <w:rPr>
          <w:rFonts w:ascii="方正小标宋简体" w:hAnsi="方正小标宋简体" w:eastAsia="方正小标宋简体" w:cs="方正小标宋简体"/>
          <w:spacing w:val="8"/>
          <w:sz w:val="44"/>
          <w:szCs w:val="44"/>
          <w:lang w:eastAsia="zh-CN"/>
        </w:rPr>
        <w:t>高敏HBV DNA与HBV RNA横向对比及HBcrAg补充价值研究——聚焦cccDNA清除水平的双重检测评估策略</w:t>
      </w:r>
      <w:bookmarkEnd w:id="17"/>
    </w:p>
    <w:p w14:paraId="2FA85807">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spacing w:val="8"/>
          <w:sz w:val="44"/>
          <w:szCs w:val="44"/>
          <w:lang w:eastAsia="zh-CN"/>
        </w:rPr>
      </w:pPr>
    </w:p>
    <w:p w14:paraId="3A28A04E">
      <w:pPr>
        <w:keepNext w:val="0"/>
        <w:keepLines w:val="0"/>
        <w:pageBreakBefore w:val="0"/>
        <w:wordWrap/>
        <w:overflowPunct/>
        <w:topLinePunct w:val="0"/>
        <w:bidi w:val="0"/>
        <w:spacing w:line="520" w:lineRule="exact"/>
        <w:jc w:val="both"/>
        <w:rPr>
          <w:rFonts w:ascii="仿宋_GB2312" w:eastAsia="仿宋_GB2312"/>
          <w:bCs/>
          <w:spacing w:val="8"/>
          <w:sz w:val="32"/>
          <w:szCs w:val="32"/>
          <w:lang w:eastAsia="zh-CN"/>
        </w:rPr>
      </w:pPr>
      <w:r>
        <w:rPr>
          <w:rFonts w:hint="eastAsia" w:ascii="仿宋_GB2312" w:eastAsia="仿宋_GB2312"/>
          <w:b/>
          <w:bCs/>
          <w:spacing w:val="8"/>
          <w:sz w:val="32"/>
          <w:szCs w:val="32"/>
          <w:lang w:eastAsia="zh-CN"/>
        </w:rPr>
        <w:t>一、领域：</w:t>
      </w:r>
      <w:r>
        <w:rPr>
          <w:rFonts w:ascii="仿宋_GB2312" w:eastAsia="仿宋_GB2312"/>
          <w:bCs/>
          <w:spacing w:val="8"/>
          <w:sz w:val="32"/>
          <w:szCs w:val="32"/>
          <w:lang w:eastAsia="zh-CN"/>
        </w:rPr>
        <w:t>慢性乙型肝炎、cccDNA评估、传染病检验</w:t>
      </w:r>
    </w:p>
    <w:p w14:paraId="095C97C1">
      <w:pPr>
        <w:keepNext w:val="0"/>
        <w:keepLines w:val="0"/>
        <w:pageBreakBefore w:val="0"/>
        <w:wordWrap/>
        <w:overflowPunct/>
        <w:topLinePunct w:val="0"/>
        <w:bidi w:val="0"/>
        <w:spacing w:line="520" w:lineRule="exact"/>
        <w:jc w:val="both"/>
        <w:rPr>
          <w:rFonts w:ascii="仿宋_GB2312" w:eastAsia="仿宋_GB2312"/>
          <w:b/>
          <w:bCs/>
          <w:spacing w:val="8"/>
          <w:sz w:val="32"/>
          <w:szCs w:val="32"/>
          <w:lang w:eastAsia="zh-CN"/>
        </w:rPr>
      </w:pPr>
      <w:r>
        <w:rPr>
          <w:rFonts w:hint="eastAsia" w:ascii="仿宋_GB2312" w:eastAsia="仿宋_GB2312"/>
          <w:b/>
          <w:bCs/>
          <w:spacing w:val="8"/>
          <w:sz w:val="32"/>
          <w:szCs w:val="32"/>
          <w:lang w:eastAsia="zh-CN"/>
        </w:rPr>
        <w:t>二、主要研究内容</w:t>
      </w:r>
    </w:p>
    <w:p w14:paraId="739C0144">
      <w:pPr>
        <w:keepNext w:val="0"/>
        <w:keepLines w:val="0"/>
        <w:pageBreakBefore w:val="0"/>
        <w:wordWrap/>
        <w:overflowPunct/>
        <w:topLinePunct w:val="0"/>
        <w:bidi w:val="0"/>
        <w:spacing w:line="520" w:lineRule="exact"/>
        <w:ind w:firstLine="672" w:firstLineChars="200"/>
        <w:jc w:val="both"/>
        <w:rPr>
          <w:rFonts w:ascii="仿宋_GB2312" w:eastAsia="仿宋_GB2312"/>
          <w:bCs/>
          <w:spacing w:val="8"/>
          <w:sz w:val="32"/>
          <w:szCs w:val="32"/>
          <w:lang w:eastAsia="zh-CN"/>
        </w:rPr>
      </w:pPr>
      <w:r>
        <w:rPr>
          <w:rFonts w:hint="eastAsia" w:ascii="仿宋_GB2312" w:eastAsia="仿宋_GB2312"/>
          <w:bCs/>
          <w:spacing w:val="8"/>
          <w:sz w:val="32"/>
          <w:szCs w:val="32"/>
          <w:lang w:eastAsia="zh-CN"/>
        </w:rPr>
        <w:t>（一）</w:t>
      </w:r>
      <w:r>
        <w:rPr>
          <w:rFonts w:ascii="仿宋_GB2312" w:eastAsia="仿宋_GB2312"/>
          <w:bCs/>
          <w:spacing w:val="8"/>
          <w:sz w:val="32"/>
          <w:szCs w:val="32"/>
          <w:lang w:eastAsia="zh-CN"/>
        </w:rPr>
        <w:t>针对</w:t>
      </w:r>
      <w:r>
        <w:rPr>
          <w:rFonts w:hint="eastAsia" w:ascii="仿宋_GB2312" w:eastAsia="仿宋_GB2312"/>
          <w:bCs/>
          <w:spacing w:val="8"/>
          <w:sz w:val="32"/>
          <w:szCs w:val="32"/>
          <w:lang w:eastAsia="zh-CN"/>
        </w:rPr>
        <w:t>经</w:t>
      </w:r>
      <w:r>
        <w:rPr>
          <w:rFonts w:ascii="仿宋_GB2312" w:eastAsia="仿宋_GB2312"/>
          <w:bCs/>
          <w:spacing w:val="8"/>
          <w:sz w:val="32"/>
          <w:szCs w:val="32"/>
          <w:lang w:eastAsia="zh-CN"/>
        </w:rPr>
        <w:t>治疗后HBV DNA低载量/转阴人群中， HBcrAg单独应用难以区分cccDNA低水平转录与短暂转录波动</w:t>
      </w:r>
      <w:r>
        <w:rPr>
          <w:rFonts w:hint="eastAsia" w:ascii="仿宋_GB2312" w:eastAsia="仿宋_GB2312"/>
          <w:bCs/>
          <w:spacing w:val="8"/>
          <w:sz w:val="32"/>
          <w:szCs w:val="32"/>
          <w:lang w:eastAsia="zh-CN"/>
        </w:rPr>
        <w:t>的临床痛点</w:t>
      </w:r>
      <w:r>
        <w:rPr>
          <w:rFonts w:ascii="仿宋_GB2312" w:eastAsia="仿宋_GB2312"/>
          <w:bCs/>
          <w:spacing w:val="8"/>
          <w:sz w:val="32"/>
          <w:szCs w:val="32"/>
          <w:lang w:eastAsia="zh-CN"/>
        </w:rPr>
        <w:t>；以核苷（酸）类似物（NA）经治慢性乙型肝炎（CHB）患者为研究对象，同步开展高敏HBV DNA、HBV RNA与HBcrAg三项标志物检测，</w:t>
      </w:r>
      <w:r>
        <w:rPr>
          <w:rFonts w:hint="eastAsia" w:ascii="仿宋_GB2312" w:eastAsia="仿宋_GB2312"/>
          <w:bCs/>
          <w:spacing w:val="8"/>
          <w:sz w:val="32"/>
          <w:szCs w:val="32"/>
          <w:lang w:eastAsia="zh-CN"/>
        </w:rPr>
        <w:t>明确其</w:t>
      </w:r>
      <w:r>
        <w:rPr>
          <w:rFonts w:ascii="仿宋_GB2312" w:eastAsia="仿宋_GB2312"/>
          <w:bCs/>
          <w:spacing w:val="8"/>
          <w:sz w:val="32"/>
          <w:szCs w:val="32"/>
          <w:lang w:eastAsia="zh-CN"/>
        </w:rPr>
        <w:t>分布比例及其在HBV DNA状态（低载量/转阴）、NA治疗时长（6-12月/1</w:t>
      </w:r>
      <w:r>
        <w:rPr>
          <w:rFonts w:hint="eastAsia" w:ascii="仿宋_GB2312" w:eastAsia="仿宋_GB2312"/>
          <w:bCs/>
          <w:spacing w:val="8"/>
          <w:sz w:val="32"/>
          <w:szCs w:val="32"/>
          <w:lang w:eastAsia="zh-CN"/>
        </w:rPr>
        <w:t>—</w:t>
      </w:r>
      <w:r>
        <w:rPr>
          <w:rFonts w:ascii="仿宋_GB2312" w:eastAsia="仿宋_GB2312"/>
          <w:bCs/>
          <w:spacing w:val="8"/>
          <w:sz w:val="32"/>
          <w:szCs w:val="32"/>
          <w:lang w:eastAsia="zh-CN"/>
        </w:rPr>
        <w:t>3年/&gt;3年）、HBeAg状态分层下的差异特征；</w:t>
      </w:r>
    </w:p>
    <w:p w14:paraId="2E171B31">
      <w:pPr>
        <w:keepNext w:val="0"/>
        <w:keepLines w:val="0"/>
        <w:pageBreakBefore w:val="0"/>
        <w:wordWrap/>
        <w:overflowPunct/>
        <w:topLinePunct w:val="0"/>
        <w:bidi w:val="0"/>
        <w:spacing w:line="520" w:lineRule="exact"/>
        <w:ind w:firstLine="672" w:firstLineChars="200"/>
        <w:jc w:val="both"/>
        <w:rPr>
          <w:rFonts w:ascii="仿宋_GB2312" w:eastAsia="仿宋_GB2312"/>
          <w:bCs/>
          <w:spacing w:val="8"/>
          <w:sz w:val="32"/>
          <w:szCs w:val="32"/>
          <w:lang w:eastAsia="zh-CN"/>
        </w:rPr>
      </w:pPr>
      <w:r>
        <w:rPr>
          <w:rFonts w:hint="eastAsia" w:ascii="仿宋_GB2312" w:eastAsia="仿宋_GB2312"/>
          <w:bCs/>
          <w:spacing w:val="8"/>
          <w:sz w:val="32"/>
          <w:szCs w:val="32"/>
          <w:lang w:eastAsia="zh-CN"/>
        </w:rPr>
        <w:t>（二）</w:t>
      </w:r>
      <w:r>
        <w:rPr>
          <w:rFonts w:ascii="仿宋_GB2312" w:eastAsia="仿宋_GB2312"/>
          <w:bCs/>
          <w:spacing w:val="8"/>
          <w:sz w:val="32"/>
          <w:szCs w:val="32"/>
          <w:lang w:eastAsia="zh-CN"/>
        </w:rPr>
        <w:t>分析四类核心组合与肝纤维化程度、治疗时长、HBeAg状态等临床指标的关联，量化单一标志物的检测盲区范围及HBV RNA+HBcrAg双重检测的盲区覆盖率与诊断效能提升幅度，建立基于四类组合的cccDNA清除水平评估标准，提出联合检测的临床应用规范，为NA经治患者的停药时机判断、复发风险预警及CHB临床治愈目标的实现提供检验医学依据。</w:t>
      </w:r>
    </w:p>
    <w:p w14:paraId="3403AB7A">
      <w:pPr>
        <w:keepNext w:val="0"/>
        <w:keepLines w:val="0"/>
        <w:pageBreakBefore w:val="0"/>
        <w:wordWrap/>
        <w:overflowPunct/>
        <w:topLinePunct w:val="0"/>
        <w:bidi w:val="0"/>
        <w:spacing w:line="520" w:lineRule="exact"/>
        <w:jc w:val="both"/>
        <w:rPr>
          <w:rFonts w:ascii="仿宋_GB2312" w:eastAsia="仿宋_GB2312"/>
          <w:b/>
          <w:bCs/>
          <w:spacing w:val="8"/>
          <w:sz w:val="32"/>
          <w:szCs w:val="32"/>
          <w:lang w:eastAsia="zh-CN"/>
        </w:rPr>
      </w:pPr>
      <w:r>
        <w:rPr>
          <w:rFonts w:hint="eastAsia" w:ascii="仿宋_GB2312" w:eastAsia="仿宋_GB2312"/>
          <w:b/>
          <w:bCs/>
          <w:spacing w:val="8"/>
          <w:sz w:val="32"/>
          <w:szCs w:val="32"/>
          <w:lang w:eastAsia="zh-CN"/>
        </w:rPr>
        <w:t>三、项目考核指标（项目执行期内）</w:t>
      </w:r>
    </w:p>
    <w:p w14:paraId="00ACBB53">
      <w:pPr>
        <w:keepNext w:val="0"/>
        <w:keepLines w:val="0"/>
        <w:pageBreakBefore w:val="0"/>
        <w:wordWrap/>
        <w:overflowPunct/>
        <w:topLinePunct w:val="0"/>
        <w:bidi w:val="0"/>
        <w:spacing w:line="520" w:lineRule="exact"/>
        <w:ind w:firstLine="672" w:firstLineChars="200"/>
        <w:jc w:val="both"/>
        <w:rPr>
          <w:rFonts w:ascii="仿宋_GB2312" w:eastAsia="仿宋_GB2312"/>
          <w:spacing w:val="8"/>
          <w:sz w:val="32"/>
          <w:szCs w:val="32"/>
          <w:lang w:eastAsia="zh-CN"/>
        </w:rPr>
      </w:pPr>
      <w:r>
        <w:rPr>
          <w:rFonts w:hint="eastAsia" w:ascii="仿宋_GB2312" w:eastAsia="仿宋_GB2312"/>
          <w:spacing w:val="8"/>
          <w:sz w:val="32"/>
          <w:szCs w:val="32"/>
          <w:lang w:eastAsia="zh-CN"/>
        </w:rPr>
        <w:t>（一）学术指标：发表学术论文≥1篇。</w:t>
      </w:r>
    </w:p>
    <w:p w14:paraId="0CFCF34E">
      <w:pPr>
        <w:keepNext w:val="0"/>
        <w:keepLines w:val="0"/>
        <w:pageBreakBefore w:val="0"/>
        <w:wordWrap/>
        <w:overflowPunct/>
        <w:topLinePunct w:val="0"/>
        <w:bidi w:val="0"/>
        <w:spacing w:line="520" w:lineRule="exact"/>
        <w:ind w:firstLine="672" w:firstLineChars="200"/>
        <w:jc w:val="both"/>
        <w:rPr>
          <w:rFonts w:ascii="仿宋_GB2312" w:eastAsia="仿宋_GB2312"/>
          <w:spacing w:val="8"/>
          <w:sz w:val="32"/>
          <w:szCs w:val="32"/>
          <w:lang w:eastAsia="zh-CN"/>
        </w:rPr>
      </w:pPr>
      <w:r>
        <w:rPr>
          <w:rFonts w:hint="eastAsia" w:ascii="仿宋_GB2312" w:eastAsia="仿宋_GB2312"/>
          <w:spacing w:val="8"/>
          <w:sz w:val="32"/>
          <w:szCs w:val="32"/>
          <w:lang w:eastAsia="zh-CN"/>
        </w:rPr>
        <w:t>（二）技术指标：</w:t>
      </w:r>
    </w:p>
    <w:p w14:paraId="3B12AF84">
      <w:pPr>
        <w:keepNext w:val="0"/>
        <w:keepLines w:val="0"/>
        <w:pageBreakBefore w:val="0"/>
        <w:wordWrap/>
        <w:overflowPunct/>
        <w:topLinePunct w:val="0"/>
        <w:bidi w:val="0"/>
        <w:spacing w:line="520" w:lineRule="exact"/>
        <w:ind w:firstLine="672" w:firstLineChars="200"/>
        <w:jc w:val="both"/>
        <w:rPr>
          <w:rFonts w:ascii="仿宋_GB2312" w:eastAsia="仿宋_GB2312"/>
          <w:bCs/>
          <w:spacing w:val="8"/>
          <w:sz w:val="32"/>
          <w:szCs w:val="32"/>
          <w:lang w:val="en-AU" w:eastAsia="zh-CN"/>
        </w:rPr>
      </w:pPr>
      <w:r>
        <w:rPr>
          <w:rFonts w:ascii="仿宋_GB2312" w:eastAsia="仿宋_GB2312"/>
          <w:bCs/>
          <w:spacing w:val="8"/>
          <w:sz w:val="32"/>
          <w:szCs w:val="32"/>
          <w:lang w:val="en-AU" w:eastAsia="zh-CN"/>
        </w:rPr>
        <w:t>1.完成NA经治CHB患者的高敏HBV DNA、HBV RNA与HBcrAg三项标志物同步检测及临床资料收集；</w:t>
      </w:r>
    </w:p>
    <w:p w14:paraId="1FB2B9CB">
      <w:pPr>
        <w:keepNext w:val="0"/>
        <w:keepLines w:val="0"/>
        <w:pageBreakBefore w:val="0"/>
        <w:wordWrap/>
        <w:overflowPunct/>
        <w:topLinePunct w:val="0"/>
        <w:bidi w:val="0"/>
        <w:spacing w:line="520" w:lineRule="exact"/>
        <w:ind w:firstLine="672" w:firstLineChars="200"/>
        <w:jc w:val="both"/>
        <w:rPr>
          <w:rFonts w:ascii="仿宋_GB2312" w:eastAsia="仿宋_GB2312"/>
          <w:bCs/>
          <w:spacing w:val="8"/>
          <w:sz w:val="32"/>
          <w:szCs w:val="32"/>
          <w:lang w:eastAsia="zh-CN"/>
        </w:rPr>
      </w:pPr>
      <w:r>
        <w:rPr>
          <w:rFonts w:ascii="仿宋_GB2312" w:eastAsia="仿宋_GB2312"/>
          <w:bCs/>
          <w:spacing w:val="8"/>
          <w:sz w:val="32"/>
          <w:szCs w:val="32"/>
          <w:lang w:val="en-AU" w:eastAsia="zh-CN"/>
        </w:rPr>
        <w:t>2.系统量化四类核心组合的分布比例、HBV RNA+HBcrAg双重检测对单一标志物盲区的覆盖效率及诊断效能提升幅度，建立基于四类组合的cccDNA清除水平评估标准与HBV RNA+HBcrAg联合检测临床应用规范，并形成</w:t>
      </w:r>
      <w:r>
        <w:rPr>
          <w:rFonts w:hint="eastAsia" w:ascii="仿宋_GB2312" w:eastAsia="仿宋_GB2312"/>
          <w:bCs/>
          <w:spacing w:val="8"/>
          <w:sz w:val="32"/>
          <w:szCs w:val="32"/>
          <w:lang w:val="en-US" w:eastAsia="zh-CN"/>
        </w:rPr>
        <w:t>≥</w:t>
      </w:r>
      <w:r>
        <w:rPr>
          <w:rFonts w:ascii="仿宋_GB2312" w:eastAsia="仿宋_GB2312"/>
          <w:bCs/>
          <w:spacing w:val="8"/>
          <w:sz w:val="32"/>
          <w:szCs w:val="32"/>
          <w:lang w:val="en-AU" w:eastAsia="zh-CN"/>
        </w:rPr>
        <w:t>1份项目结题分析报告。</w:t>
      </w:r>
    </w:p>
    <w:p w14:paraId="28D1B98E">
      <w:pPr>
        <w:keepNext w:val="0"/>
        <w:keepLines w:val="0"/>
        <w:pageBreakBefore w:val="0"/>
        <w:wordWrap/>
        <w:overflowPunct/>
        <w:topLinePunct w:val="0"/>
        <w:bidi w:val="0"/>
        <w:spacing w:line="52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四、项目实施年限：</w:t>
      </w:r>
      <w:r>
        <w:rPr>
          <w:rFonts w:hint="eastAsia" w:ascii="仿宋_GB2312" w:hAnsi="仿宋_GB2312" w:eastAsia="仿宋_GB2312" w:cs="仿宋_GB2312"/>
          <w:sz w:val="32"/>
          <w:szCs w:val="32"/>
          <w:lang w:eastAsia="zh-CN"/>
        </w:rPr>
        <w:t>不超过2年</w:t>
      </w:r>
    </w:p>
    <w:p w14:paraId="09FE3CFA">
      <w:pPr>
        <w:keepNext w:val="0"/>
        <w:keepLines w:val="0"/>
        <w:pageBreakBefore w:val="0"/>
        <w:wordWrap/>
        <w:overflowPunct/>
        <w:topLinePunct w:val="0"/>
        <w:bidi w:val="0"/>
        <w:spacing w:line="52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五、资助金额：</w:t>
      </w:r>
      <w:r>
        <w:rPr>
          <w:rFonts w:hint="eastAsia" w:ascii="仿宋_GB2312" w:hAnsi="仿宋_GB2312" w:eastAsia="仿宋_GB2312" w:cs="仿宋_GB2312"/>
          <w:sz w:val="32"/>
          <w:szCs w:val="32"/>
          <w:lang w:eastAsia="zh-CN"/>
        </w:rPr>
        <w:t>不超过1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14:paraId="5D685D65">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03A9DD1">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F1B2B74">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EDF9E9C">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D06BEB3">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590266E4">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47EBABC">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8E06D89">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39F46570">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0ED152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79F5631">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13851E9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D6A9CA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FF6F139">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4542C892">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7BDDE1E4">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59D4E1B">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49096A0">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21521317">
      <w:pPr>
        <w:pStyle w:val="4"/>
        <w:keepNext w:val="0"/>
        <w:keepLines w:val="0"/>
        <w:pageBreakBefore w:val="0"/>
        <w:wordWrap/>
        <w:overflowPunct/>
        <w:topLinePunct w:val="0"/>
        <w:bidi w:val="0"/>
        <w:spacing w:line="520" w:lineRule="exact"/>
        <w:ind w:right="17"/>
        <w:jc w:val="center"/>
        <w:outlineLvl w:val="0"/>
        <w:rPr>
          <w:rFonts w:hint="eastAsia" w:ascii="方正小标宋简体" w:hAnsi="方正小标宋简体" w:eastAsia="方正小标宋简体" w:cs="方正小标宋简体"/>
          <w:b w:val="0"/>
          <w:bCs w:val="0"/>
          <w:spacing w:val="8"/>
          <w:sz w:val="44"/>
          <w:szCs w:val="44"/>
          <w:lang w:eastAsia="zh-CN"/>
        </w:rPr>
      </w:pPr>
      <w:bookmarkStart w:id="18" w:name="_Toc6281"/>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17</w:t>
      </w:r>
      <w:r>
        <w:rPr>
          <w:rFonts w:hint="eastAsia" w:ascii="方正小标宋简体" w:hAnsi="方正小标宋简体" w:eastAsia="方正小标宋简体" w:cs="方正小标宋简体"/>
          <w:b w:val="0"/>
          <w:bCs w:val="0"/>
          <w:spacing w:val="8"/>
          <w:sz w:val="44"/>
          <w:szCs w:val="44"/>
          <w:lang w:eastAsia="zh-CN"/>
        </w:rPr>
        <w:t xml:space="preserve"> 0—6岁儿童常规</w:t>
      </w:r>
      <w:r>
        <w:rPr>
          <w:rFonts w:hint="eastAsia" w:ascii="方正小标宋简体" w:hAnsi="方正小标宋简体" w:eastAsia="方正小标宋简体" w:cs="方正小标宋简体"/>
          <w:b w:val="0"/>
          <w:bCs w:val="0"/>
          <w:spacing w:val="8"/>
          <w:sz w:val="44"/>
          <w:szCs w:val="44"/>
          <w:lang w:val="en-US" w:eastAsia="zh-CN"/>
        </w:rPr>
        <w:t>七</w:t>
      </w:r>
      <w:r>
        <w:rPr>
          <w:rFonts w:hint="eastAsia" w:ascii="方正小标宋简体" w:hAnsi="方正小标宋简体" w:eastAsia="方正小标宋简体" w:cs="方正小标宋简体"/>
          <w:b w:val="0"/>
          <w:bCs w:val="0"/>
          <w:spacing w:val="8"/>
          <w:sz w:val="44"/>
          <w:szCs w:val="44"/>
          <w:lang w:eastAsia="zh-CN"/>
        </w:rPr>
        <w:t>项凝血指标参考范围的建立多中心研究</w:t>
      </w:r>
      <w:bookmarkEnd w:id="18"/>
    </w:p>
    <w:p w14:paraId="62AEA42E">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b w:val="0"/>
          <w:bCs w:val="0"/>
          <w:spacing w:val="8"/>
          <w:sz w:val="44"/>
          <w:szCs w:val="44"/>
          <w:lang w:eastAsia="zh-CN"/>
        </w:rPr>
      </w:pPr>
    </w:p>
    <w:p w14:paraId="08058885">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一、领域：</w:t>
      </w:r>
      <w:r>
        <w:rPr>
          <w:rFonts w:hint="eastAsia" w:ascii="仿宋_GB2312" w:hAnsi="仿宋_GB2312" w:eastAsia="仿宋_GB2312" w:cs="仿宋_GB2312"/>
          <w:sz w:val="32"/>
          <w:szCs w:val="32"/>
          <w:lang w:eastAsia="zh-CN"/>
        </w:rPr>
        <w:t>儿童、微量血、凝血参考范围</w:t>
      </w:r>
    </w:p>
    <w:p w14:paraId="02CEB6D2">
      <w:pPr>
        <w:pStyle w:val="11"/>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二、主要研究内容</w:t>
      </w:r>
    </w:p>
    <w:p w14:paraId="73208C8D">
      <w:pPr>
        <w:pStyle w:val="11"/>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以多中心临床研究的形式（样本量</w:t>
      </w:r>
      <w:r>
        <w:rPr>
          <w:rFonts w:hint="eastAsia" w:ascii="仿宋_GB2312" w:hAnsi="仿宋_GB2312" w:eastAsia="仿宋_GB2312" w:cs="仿宋_GB2312"/>
          <w:spacing w:val="8"/>
          <w:sz w:val="32"/>
          <w:szCs w:val="32"/>
          <w:lang w:eastAsia="zh-CN"/>
        </w:rPr>
        <w:t>≥900例</w:t>
      </w:r>
      <w:r>
        <w:rPr>
          <w:rFonts w:hint="eastAsia" w:ascii="仿宋_GB2312" w:hAnsi="仿宋_GB2312" w:eastAsia="仿宋_GB2312" w:cs="仿宋_GB2312"/>
          <w:kern w:val="2"/>
          <w:sz w:val="32"/>
          <w:szCs w:val="32"/>
          <w:lang w:eastAsia="zh-CN"/>
        </w:rPr>
        <w:t>）建立中国0—6岁健康儿童基于微量血（≤1.5mL）的凝血八项指标（PT、APTT、TT、Fib、FDP、D-D、AT-Ⅲ、INR）年龄－性别分层参考区间。</w:t>
      </w:r>
    </w:p>
    <w:p w14:paraId="0CDF313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三、项目考核指标（项目执行期内）</w:t>
      </w:r>
    </w:p>
    <w:p w14:paraId="3C6E2027">
      <w:pPr>
        <w:pStyle w:val="4"/>
        <w:keepNext w:val="0"/>
        <w:keepLines w:val="0"/>
        <w:pageBreakBefore w:val="0"/>
        <w:wordWrap/>
        <w:overflowPunct/>
        <w:topLinePunct w:val="0"/>
        <w:bidi w:val="0"/>
        <w:spacing w:line="520" w:lineRule="exact"/>
        <w:ind w:right="19" w:firstLine="504" w:firstLineChars="150"/>
        <w:jc w:val="both"/>
        <w:rPr>
          <w:rFonts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（一）学术指标：发表学术论文≥1篇。</w:t>
      </w:r>
    </w:p>
    <w:p w14:paraId="726D41D0">
      <w:pPr>
        <w:pStyle w:val="4"/>
        <w:keepNext w:val="0"/>
        <w:keepLines w:val="0"/>
        <w:pageBreakBefore w:val="0"/>
        <w:wordWrap/>
        <w:overflowPunct/>
        <w:topLinePunct w:val="0"/>
        <w:bidi w:val="0"/>
        <w:spacing w:line="520" w:lineRule="exact"/>
        <w:ind w:right="19" w:firstLine="480" w:firstLineChars="15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spacing w:val="8"/>
          <w:sz w:val="32"/>
          <w:szCs w:val="32"/>
          <w:lang w:eastAsia="zh-CN"/>
        </w:rPr>
        <w:t>技术指标：</w:t>
      </w:r>
    </w:p>
    <w:p w14:paraId="6DA0A136">
      <w:pPr>
        <w:pStyle w:val="4"/>
        <w:keepNext w:val="0"/>
        <w:keepLines w:val="0"/>
        <w:pageBreakBefore w:val="0"/>
        <w:wordWrap/>
        <w:overflowPunct/>
        <w:topLinePunct w:val="0"/>
        <w:bidi w:val="0"/>
        <w:spacing w:line="520" w:lineRule="exact"/>
        <w:ind w:right="19" w:firstLine="504" w:firstLineChars="15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kern w:val="2"/>
          <w:sz w:val="32"/>
          <w:szCs w:val="32"/>
          <w:lang w:eastAsia="zh-CN"/>
        </w:rPr>
        <w:t>参与该多中心研究的医院共同收集符合年龄要求的质量合格血液样本≥150例/组，共6组（分3个年龄组、男性和女性：0-6个月、6个月-1岁，1-6岁），并完成凝血八项指标的检测（PT、APTT、TT、Fib、FDP、D-D、AT-Ⅲ、INR）；</w:t>
      </w:r>
    </w:p>
    <w:p w14:paraId="7713FA96">
      <w:pPr>
        <w:pStyle w:val="4"/>
        <w:keepNext w:val="0"/>
        <w:keepLines w:val="0"/>
        <w:pageBreakBefore w:val="0"/>
        <w:wordWrap/>
        <w:overflowPunct/>
        <w:topLinePunct w:val="0"/>
        <w:bidi w:val="0"/>
        <w:spacing w:line="520" w:lineRule="exact"/>
        <w:ind w:right="19" w:firstLine="480" w:firstLineChars="150"/>
        <w:jc w:val="both"/>
        <w:rPr>
          <w:rFonts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eastAsia="zh-CN"/>
        </w:rPr>
        <w:t>根据各参与单位结果建立0—6岁儿童微量血凝血参考范围</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bCs/>
          <w:spacing w:val="8"/>
          <w:sz w:val="32"/>
          <w:szCs w:val="32"/>
          <w:lang w:eastAsia="zh-CN"/>
        </w:rPr>
        <w:t>并形成≥1份项目结题分析报告。</w:t>
      </w:r>
    </w:p>
    <w:p w14:paraId="196B368B">
      <w:pPr>
        <w:pStyle w:val="11"/>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四、项目实施年限：</w:t>
      </w:r>
      <w:r>
        <w:rPr>
          <w:rFonts w:hint="eastAsia" w:ascii="仿宋_GB2312" w:hAnsi="仿宋_GB2312" w:eastAsia="仿宋_GB2312" w:cs="仿宋_GB2312"/>
          <w:sz w:val="32"/>
          <w:szCs w:val="32"/>
          <w:lang w:eastAsia="zh-CN"/>
        </w:rPr>
        <w:t>不超过2年</w:t>
      </w:r>
    </w:p>
    <w:p w14:paraId="0EA21BD2">
      <w:pPr>
        <w:pStyle w:val="11"/>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五、资助金额：</w:t>
      </w:r>
      <w:r>
        <w:rPr>
          <w:rFonts w:hint="eastAsia" w:ascii="仿宋_GB2312" w:hAnsi="仿宋_GB2312" w:eastAsia="仿宋_GB2312" w:cs="仿宋_GB2312"/>
          <w:sz w:val="32"/>
          <w:szCs w:val="32"/>
          <w:lang w:eastAsia="zh-CN"/>
        </w:rPr>
        <w:t>不超过15万元</w:t>
      </w:r>
    </w:p>
    <w:p w14:paraId="7B22D514">
      <w:pPr>
        <w:keepNext w:val="0"/>
        <w:keepLines w:val="0"/>
        <w:pageBreakBefore w:val="0"/>
        <w:wordWrap/>
        <w:overflowPunct/>
        <w:topLinePunct w:val="0"/>
        <w:bidi w:val="0"/>
        <w:spacing w:line="520" w:lineRule="exact"/>
      </w:pPr>
    </w:p>
    <w:p w14:paraId="332FEDC2">
      <w:pPr>
        <w:keepNext w:val="0"/>
        <w:keepLines w:val="0"/>
        <w:pageBreakBefore w:val="0"/>
        <w:wordWrap/>
        <w:overflowPunct/>
        <w:topLinePunct w:val="0"/>
        <w:bidi w:val="0"/>
        <w:spacing w:line="520" w:lineRule="exact"/>
      </w:pPr>
    </w:p>
    <w:p w14:paraId="34996340">
      <w:pPr>
        <w:keepNext w:val="0"/>
        <w:keepLines w:val="0"/>
        <w:pageBreakBefore w:val="0"/>
        <w:wordWrap/>
        <w:overflowPunct/>
        <w:topLinePunct w:val="0"/>
        <w:bidi w:val="0"/>
        <w:spacing w:line="520" w:lineRule="exact"/>
      </w:pPr>
    </w:p>
    <w:p w14:paraId="42921958">
      <w:pPr>
        <w:keepNext w:val="0"/>
        <w:keepLines w:val="0"/>
        <w:pageBreakBefore w:val="0"/>
        <w:wordWrap/>
        <w:overflowPunct/>
        <w:topLinePunct w:val="0"/>
        <w:bidi w:val="0"/>
        <w:spacing w:line="520" w:lineRule="exact"/>
      </w:pPr>
    </w:p>
    <w:p w14:paraId="283B054F">
      <w:pPr>
        <w:keepNext w:val="0"/>
        <w:keepLines w:val="0"/>
        <w:pageBreakBefore w:val="0"/>
        <w:wordWrap/>
        <w:overflowPunct/>
        <w:topLinePunct w:val="0"/>
        <w:bidi w:val="0"/>
        <w:spacing w:line="520" w:lineRule="exact"/>
      </w:pPr>
    </w:p>
    <w:p w14:paraId="53585600">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sz w:val="44"/>
          <w:szCs w:val="44"/>
          <w:lang w:val="zh-CN"/>
        </w:rPr>
      </w:pPr>
      <w:bookmarkStart w:id="19" w:name="_Toc10045"/>
      <w:r>
        <w:rPr>
          <w:rFonts w:hint="eastAsia" w:ascii="方正小标宋简体" w:hAnsi="方正小标宋简体" w:eastAsia="方正小标宋简体" w:cs="方正小标宋简体"/>
          <w:b w:val="0"/>
          <w:bCs w:val="0"/>
          <w:spacing w:val="8"/>
          <w:sz w:val="44"/>
          <w:szCs w:val="44"/>
          <w:lang w:eastAsia="zh-CN"/>
        </w:rPr>
        <w:t>面20260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18 </w:t>
      </w:r>
      <w:r>
        <w:rPr>
          <w:rFonts w:ascii="方正小标宋简体" w:hAnsi="方正小标宋简体" w:eastAsia="方正小标宋简体" w:cs="方正小标宋简体"/>
          <w:sz w:val="44"/>
          <w:szCs w:val="44"/>
          <w:lang w:val="zh-CN"/>
        </w:rPr>
        <w:t>新型肌钙蛋白复合物Long-T ITC在急性胸痛与心力衰竭临床诊断中的应用价值研究</w:t>
      </w:r>
      <w:bookmarkEnd w:id="19"/>
    </w:p>
    <w:p w14:paraId="36978CFE">
      <w:pPr>
        <w:keepNext w:val="0"/>
        <w:keepLines w:val="0"/>
        <w:pageBreakBefore w:val="0"/>
        <w:wordWrap/>
        <w:overflowPunct/>
        <w:topLinePunct w:val="0"/>
        <w:bidi w:val="0"/>
        <w:spacing w:line="520" w:lineRule="exact"/>
        <w:jc w:val="center"/>
        <w:rPr>
          <w:rFonts w:hint="eastAsia" w:ascii="方正小标宋简体" w:hAnsi="方正小标宋简体" w:eastAsia="方正小标宋简体" w:cs="方正小标宋简体"/>
          <w:sz w:val="44"/>
          <w:szCs w:val="44"/>
          <w:lang w:val="zh-CN"/>
        </w:rPr>
      </w:pPr>
    </w:p>
    <w:p w14:paraId="2CD0C999">
      <w:pPr>
        <w:keepNext w:val="0"/>
        <w:keepLines w:val="0"/>
        <w:pageBreakBefore w:val="0"/>
        <w:wordWrap/>
        <w:overflowPunct/>
        <w:topLinePunct w:val="0"/>
        <w:bidi w:val="0"/>
        <w:spacing w:line="52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一、领域：</w:t>
      </w:r>
      <w:r>
        <w:rPr>
          <w:rFonts w:ascii="仿宋_GB2312" w:hAnsi="仿宋_GB2312" w:eastAsia="仿宋_GB2312" w:cs="仿宋_GB2312"/>
          <w:sz w:val="32"/>
          <w:szCs w:val="32"/>
          <w:lang w:eastAsia="zh-CN"/>
        </w:rPr>
        <w:t>心血管疾病、检验医学</w:t>
      </w:r>
    </w:p>
    <w:p w14:paraId="0C448864">
      <w:pPr>
        <w:keepNext w:val="0"/>
        <w:keepLines w:val="0"/>
        <w:pageBreakBefore w:val="0"/>
        <w:wordWrap/>
        <w:overflowPunct/>
        <w:topLinePunct w:val="0"/>
        <w:bidi w:val="0"/>
        <w:spacing w:line="52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409661BA">
      <w:pPr>
        <w:pStyle w:val="11"/>
        <w:keepNext w:val="0"/>
        <w:keepLines w:val="0"/>
        <w:pageBreakBefore w:val="0"/>
        <w:wordWrap/>
        <w:overflowPunct/>
        <w:topLinePunct w:val="0"/>
        <w:bidi w:val="0"/>
        <w:spacing w:line="52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ascii="仿宋_GB2312" w:hAnsi="仿宋_GB2312" w:eastAsia="仿宋_GB2312" w:cs="仿宋_GB2312"/>
          <w:sz w:val="32"/>
          <w:szCs w:val="32"/>
          <w:lang w:eastAsia="zh-CN"/>
        </w:rPr>
        <w:t>针对高敏心肌肌钙蛋白（hs-cTn）</w:t>
      </w:r>
      <w:r>
        <w:rPr>
          <w:rFonts w:hint="eastAsia" w:ascii="仿宋_GB2312" w:hAnsi="仿宋_GB2312" w:eastAsia="仿宋_GB2312" w:cs="仿宋_GB2312"/>
          <w:sz w:val="32"/>
          <w:szCs w:val="32"/>
          <w:lang w:eastAsia="zh-CN"/>
        </w:rPr>
        <w:t>缺乏</w:t>
      </w:r>
      <w:r>
        <w:rPr>
          <w:rFonts w:ascii="仿宋_GB2312" w:hAnsi="仿宋_GB2312" w:eastAsia="仿宋_GB2312" w:cs="仿宋_GB2312"/>
          <w:sz w:val="32"/>
          <w:szCs w:val="32"/>
          <w:lang w:eastAsia="zh-CN"/>
        </w:rPr>
        <w:t>病因特异性、难以鉴别急性心肌梗死（AMI）与慢性肾病、心力衰竭等非缺血性心肌损伤的痛点，以急诊胸痛患者为研究对象，系统评估特异性靶向完整肌钙蛋白三元复合物的新型标志物Long-T ITC对AMI的诊断效能，及其在早期就诊患者（≤3小时）中安全排除AMI的能力；</w:t>
      </w:r>
    </w:p>
    <w:p w14:paraId="40E78140">
      <w:pPr>
        <w:pStyle w:val="11"/>
        <w:keepNext w:val="0"/>
        <w:keepLines w:val="0"/>
        <w:pageBreakBefore w:val="0"/>
        <w:wordWrap/>
        <w:overflowPunct/>
        <w:topLinePunct w:val="0"/>
        <w:bidi w:val="0"/>
        <w:spacing w:line="52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lang w:eastAsia="zh-CN"/>
        </w:rPr>
        <w:t>以急性呼吸困难患者为研究对象，评估Long-T ITC在鉴别心衰患者肌钙蛋白升高来源及区分心源性与非心源性呼吸困难中的临床价值，探索其与hs-cTnI、hs-cTnT、NT-proBNP等常规标志物的最佳整合模式，为胸痛与心衰精准诊断及临床决策提供依据</w:t>
      </w:r>
      <w:r>
        <w:rPr>
          <w:rFonts w:hint="eastAsia" w:ascii="仿宋_GB2312" w:hAnsi="仿宋_GB2312" w:eastAsia="仿宋_GB2312" w:cs="仿宋_GB2312"/>
          <w:sz w:val="32"/>
          <w:szCs w:val="32"/>
          <w:lang w:eastAsia="zh-CN"/>
        </w:rPr>
        <w:t>。</w:t>
      </w:r>
    </w:p>
    <w:p w14:paraId="07441352">
      <w:pPr>
        <w:keepNext w:val="0"/>
        <w:keepLines w:val="0"/>
        <w:pageBreakBefore w:val="0"/>
        <w:wordWrap/>
        <w:overflowPunct/>
        <w:topLinePunct w:val="0"/>
        <w:bidi w:val="0"/>
        <w:spacing w:line="52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434A1FBD">
      <w:pPr>
        <w:pStyle w:val="4"/>
        <w:keepNext w:val="0"/>
        <w:keepLines w:val="0"/>
        <w:pageBreakBefore w:val="0"/>
        <w:wordWrap/>
        <w:overflowPunct/>
        <w:topLinePunct w:val="0"/>
        <w:bidi w:val="0"/>
        <w:spacing w:line="520" w:lineRule="exact"/>
        <w:ind w:right="19" w:firstLine="504" w:firstLineChars="150"/>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rPr>
        <w:t>（一）学术指标：发表学术论文≥1篇</w:t>
      </w:r>
      <w:r>
        <w:rPr>
          <w:rFonts w:hint="eastAsia" w:ascii="仿宋_GB2312" w:hAnsi="仿宋_GB2312" w:eastAsia="仿宋_GB2312" w:cs="仿宋_GB2312"/>
          <w:spacing w:val="8"/>
          <w:sz w:val="32"/>
          <w:szCs w:val="32"/>
          <w:lang w:eastAsia="zh-CN"/>
        </w:rPr>
        <w:t>。</w:t>
      </w:r>
    </w:p>
    <w:p w14:paraId="433A0280">
      <w:pPr>
        <w:pStyle w:val="4"/>
        <w:keepNext w:val="0"/>
        <w:keepLines w:val="0"/>
        <w:pageBreakBefore w:val="0"/>
        <w:numPr>
          <w:ilvl w:val="0"/>
          <w:numId w:val="3"/>
        </w:numPr>
        <w:wordWrap/>
        <w:overflowPunct/>
        <w:topLinePunct w:val="0"/>
        <w:bidi w:val="0"/>
        <w:spacing w:line="520" w:lineRule="exact"/>
        <w:ind w:right="19" w:firstLine="504" w:firstLineChars="150"/>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技术指标：</w:t>
      </w:r>
    </w:p>
    <w:p w14:paraId="04C1F641">
      <w:pPr>
        <w:keepNext w:val="0"/>
        <w:keepLines w:val="0"/>
        <w:pageBreakBefore w:val="0"/>
        <w:wordWrap/>
        <w:overflowPunct/>
        <w:topLinePunct w:val="0"/>
        <w:bidi w:val="0"/>
        <w:spacing w:line="520" w:lineRule="exact"/>
        <w:ind w:firstLine="640" w:firstLineChars="200"/>
        <w:rPr>
          <w:rFonts w:hint="eastAsia" w:ascii="仿宋_GB2312" w:hAnsi="仿宋_GB2312" w:eastAsia="仿宋_GB2312" w:cs="仿宋_GB2312"/>
          <w:sz w:val="32"/>
          <w:szCs w:val="32"/>
          <w:lang w:val="en-AU" w:eastAsia="zh-CN"/>
        </w:rPr>
      </w:pPr>
      <w:r>
        <w:rPr>
          <w:rFonts w:ascii="仿宋_GB2312" w:hAnsi="仿宋_GB2312" w:eastAsia="仿宋_GB2312" w:cs="仿宋_GB2312"/>
          <w:sz w:val="32"/>
          <w:szCs w:val="32"/>
          <w:lang w:val="en-AU" w:eastAsia="zh-CN"/>
        </w:rPr>
        <w:t>1.完成急性胸痛队列≥</w:t>
      </w:r>
      <w:r>
        <w:rPr>
          <w:rFonts w:hint="eastAsia" w:ascii="仿宋_GB2312" w:hAnsi="仿宋_GB2312" w:eastAsia="仿宋_GB2312" w:cs="仿宋_GB2312"/>
          <w:sz w:val="32"/>
          <w:szCs w:val="32"/>
          <w:lang w:val="en-AU" w:eastAsia="zh-CN"/>
        </w:rPr>
        <w:t>3</w:t>
      </w:r>
      <w:r>
        <w:rPr>
          <w:rFonts w:ascii="仿宋_GB2312" w:hAnsi="仿宋_GB2312" w:eastAsia="仿宋_GB2312" w:cs="仿宋_GB2312"/>
          <w:sz w:val="32"/>
          <w:szCs w:val="32"/>
          <w:lang w:val="en-AU" w:eastAsia="zh-CN"/>
        </w:rPr>
        <w:t>00例、心力衰竭/呼吸困难队列≥</w:t>
      </w:r>
      <w:r>
        <w:rPr>
          <w:rFonts w:hint="eastAsia" w:ascii="仿宋_GB2312" w:hAnsi="仿宋_GB2312" w:eastAsia="仿宋_GB2312" w:cs="仿宋_GB2312"/>
          <w:sz w:val="32"/>
          <w:szCs w:val="32"/>
          <w:lang w:val="en-AU" w:eastAsia="zh-CN"/>
        </w:rPr>
        <w:t>3</w:t>
      </w:r>
      <w:r>
        <w:rPr>
          <w:rFonts w:ascii="仿宋_GB2312" w:hAnsi="仿宋_GB2312" w:eastAsia="仿宋_GB2312" w:cs="仿宋_GB2312"/>
          <w:sz w:val="32"/>
          <w:szCs w:val="32"/>
          <w:lang w:val="en-AU" w:eastAsia="zh-CN"/>
        </w:rPr>
        <w:t>00例的入组、样本采集与终点裁定；</w:t>
      </w:r>
    </w:p>
    <w:p w14:paraId="7F82FB97">
      <w:pPr>
        <w:keepNext w:val="0"/>
        <w:keepLines w:val="0"/>
        <w:pageBreakBefore w:val="0"/>
        <w:wordWrap/>
        <w:overflowPunct/>
        <w:topLinePunct w:val="0"/>
        <w:bidi w:val="0"/>
        <w:spacing w:line="520" w:lineRule="exact"/>
        <w:ind w:firstLine="640" w:firstLineChars="200"/>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lang w:val="en-AU" w:eastAsia="zh-CN"/>
        </w:rPr>
        <w:t>2.系统评估Long-T ITC在AMI诊断、胸痛三大急症鉴别、心衰患者肌钙蛋白升高来源鉴别及心源性呼吸困难识别中的效能，并形成≥1份项目结题分析报告。</w:t>
      </w:r>
    </w:p>
    <w:p w14:paraId="0AB021D5">
      <w:pPr>
        <w:pStyle w:val="11"/>
        <w:keepNext w:val="0"/>
        <w:keepLines w:val="0"/>
        <w:pageBreakBefore w:val="0"/>
        <w:wordWrap/>
        <w:overflowPunct/>
        <w:topLinePunct w:val="0"/>
        <w:bidi w:val="0"/>
        <w:spacing w:line="520" w:lineRule="exact"/>
        <w:ind w:left="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不超过</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年</w:t>
      </w:r>
    </w:p>
    <w:p w14:paraId="1F97C6CF">
      <w:pPr>
        <w:pStyle w:val="11"/>
        <w:keepNext w:val="0"/>
        <w:keepLines w:val="0"/>
        <w:pageBreakBefore w:val="0"/>
        <w:wordWrap/>
        <w:overflowPunct/>
        <w:topLinePunct w:val="0"/>
        <w:bidi w:val="0"/>
        <w:spacing w:line="520" w:lineRule="exact"/>
        <w:ind w:left="0"/>
        <w:rPr>
          <w:rFonts w:ascii="Times New Roman" w:hAnsi="Times New Roman" w:eastAsia="宋体" w:cs="Times New Roman"/>
          <w:b/>
          <w:bCs/>
          <w:sz w:val="56"/>
          <w:szCs w:val="36"/>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w:t>
      </w:r>
      <w:r>
        <w:rPr>
          <w:rFonts w:hint="eastAsia" w:ascii="仿宋_GB2312" w:hAnsi="仿宋_GB2312" w:eastAsia="仿宋_GB2312" w:cs="仿宋_GB2312"/>
          <w:sz w:val="32"/>
          <w:szCs w:val="32"/>
          <w:lang w:eastAsia="zh-CN"/>
        </w:rPr>
        <w:t>15</w:t>
      </w:r>
      <w:r>
        <w:rPr>
          <w:rFonts w:hint="eastAsia" w:ascii="仿宋_GB2312" w:hAnsi="仿宋_GB2312" w:eastAsia="仿宋_GB2312" w:cs="仿宋_GB2312"/>
          <w:sz w:val="32"/>
          <w:szCs w:val="32"/>
        </w:rPr>
        <w:t>万元</w:t>
      </w:r>
    </w:p>
    <w:p w14:paraId="24EE67B5">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1CA97274">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5898A43A">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7FACB268">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1F6B95E5">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55C11E68">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08C0CA36">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6E8B6ABD">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65DE70A3">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6B643EA0">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22737097">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44D08AD9">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4DCC6FA2">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3C4961A5">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2BA8764D">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75BA9FC1">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7A3441A3">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2AED7C37">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1CEEB70B">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17857300">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3B7F3D63">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63FE12B6">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3F2595A2">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3C3F4B43">
      <w:pPr>
        <w:pStyle w:val="4"/>
        <w:keepNext w:val="0"/>
        <w:keepLines w:val="0"/>
        <w:pageBreakBefore w:val="0"/>
        <w:wordWrap/>
        <w:overflowPunct/>
        <w:topLinePunct w:val="0"/>
        <w:bidi w:val="0"/>
        <w:spacing w:line="520" w:lineRule="exact"/>
        <w:ind w:right="17"/>
        <w:jc w:val="center"/>
        <w:rPr>
          <w:rFonts w:hint="eastAsia" w:ascii="黑体" w:hAnsi="黑体" w:eastAsia="黑体" w:cs="黑体"/>
          <w:b/>
          <w:bCs/>
          <w:spacing w:val="8"/>
          <w:sz w:val="32"/>
          <w:szCs w:val="32"/>
          <w:lang w:eastAsia="zh-CN"/>
        </w:rPr>
      </w:pPr>
    </w:p>
    <w:p w14:paraId="13DD4135">
      <w:pPr>
        <w:pStyle w:val="4"/>
        <w:keepNext w:val="0"/>
        <w:keepLines w:val="0"/>
        <w:pageBreakBefore w:val="0"/>
        <w:wordWrap/>
        <w:overflowPunct/>
        <w:topLinePunct w:val="0"/>
        <w:bidi w:val="0"/>
        <w:spacing w:line="520" w:lineRule="exact"/>
        <w:ind w:right="17"/>
        <w:jc w:val="center"/>
        <w:rPr>
          <w:rFonts w:hint="eastAsia" w:ascii="方正小标宋简体" w:hAnsi="方正小标宋简体" w:eastAsia="方正小标宋简体" w:cs="方正小标宋简体"/>
          <w:spacing w:val="8"/>
          <w:sz w:val="44"/>
          <w:szCs w:val="44"/>
          <w:lang w:eastAsia="zh-CN"/>
        </w:rPr>
      </w:pPr>
    </w:p>
    <w:p w14:paraId="77CBB2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center"/>
        <w:textAlignment w:val="baseline"/>
        <w:outlineLvl w:val="0"/>
        <w:rPr>
          <w:rFonts w:hint="eastAsia" w:ascii="方正小标宋简体" w:hAnsi="方正小标宋简体" w:eastAsia="方正小标宋简体" w:cs="方正小标宋简体"/>
          <w:b w:val="0"/>
          <w:bCs w:val="0"/>
          <w:spacing w:val="8"/>
          <w:sz w:val="44"/>
          <w:szCs w:val="44"/>
          <w:lang w:val="en-US" w:eastAsia="zh-CN"/>
        </w:rPr>
      </w:pPr>
      <w:bookmarkStart w:id="20" w:name="_Toc19272"/>
      <w:r>
        <w:rPr>
          <w:rFonts w:hint="eastAsia" w:ascii="方正小标宋简体" w:hAnsi="方正小标宋简体" w:eastAsia="方正小标宋简体" w:cs="方正小标宋简体"/>
          <w:b w:val="0"/>
          <w:bCs w:val="0"/>
          <w:spacing w:val="8"/>
          <w:sz w:val="44"/>
          <w:szCs w:val="44"/>
          <w:lang w:val="en-US" w:eastAsia="zh-CN"/>
        </w:rPr>
        <w:t>面202608019 基于血细胞分析仪的脂血干扰校正及TTP智能一体化筛查技术临床研究</w:t>
      </w:r>
      <w:bookmarkEnd w:id="20"/>
    </w:p>
    <w:p w14:paraId="66AA48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ascii="宋体" w:hAnsi="宋体" w:eastAsia="宋体" w:cs="宋体"/>
          <w:b/>
          <w:bCs/>
          <w:color w:val="000000"/>
          <w:kern w:val="0"/>
          <w:sz w:val="24"/>
          <w:szCs w:val="24"/>
          <w:lang w:val="en-US" w:eastAsia="zh-CN" w:bidi="ar"/>
        </w:rPr>
      </w:pPr>
    </w:p>
    <w:p w14:paraId="4946D0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rPr>
        <w:t>一、领域</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bidi="ar"/>
        </w:rPr>
        <w:t>临床血液检验、检验人工智能临床转化</w:t>
      </w:r>
    </w:p>
    <w:p w14:paraId="314667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二、主要研究内容</w:t>
      </w:r>
    </w:p>
    <w:p w14:paraId="6B854A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（一）围绕血常规检测全流程临床痛点，一体化开展脂血干扰校正与血栓性血小板减少性紫癜（TTP）智能筛查技术研究；</w:t>
      </w:r>
    </w:p>
    <w:p w14:paraId="09DA98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（二）探究脂血对血常规检测的干扰规律，建立仪器自动识别与血红蛋白校正方法；</w:t>
      </w:r>
    </w:p>
    <w:p w14:paraId="543427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（三）同步整合血细胞定量参数、细胞形态图像数据，搭建 TTP 人工智能筛查模型，形成集样本干扰质控、疾病快速初筛于一体的血液检验新技术方案。</w:t>
      </w:r>
    </w:p>
    <w:p w14:paraId="6CB6DB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三、项目考核指标（执行期内完成）</w:t>
      </w:r>
    </w:p>
    <w:p w14:paraId="334644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firstLineChars="20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（一）学术指标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rPr>
        <w:t>发表学术论文</w:t>
      </w:r>
      <w:r>
        <w:rPr>
          <w:rFonts w:hint="eastAsia" w:ascii="仿宋_GB2312" w:hAnsi="仿宋_GB2312" w:eastAsia="仿宋_GB2312" w:cs="仿宋_GB2312"/>
          <w:b w:val="0"/>
          <w:bCs w:val="0"/>
          <w:snapToGrid w:val="0"/>
          <w:color w:val="000000"/>
          <w:spacing w:val="8"/>
          <w:sz w:val="32"/>
          <w:szCs w:val="32"/>
          <w:lang w:val="en-US" w:eastAsia="zh-CN" w:bidi="ar-SA"/>
        </w:rPr>
        <w:t>≥</w:t>
      </w:r>
      <w:r>
        <w:rPr>
          <w:rFonts w:hint="eastAsia" w:ascii="仿宋_GB2312" w:hAnsi="仿宋_GB2312" w:eastAsia="仿宋_GB2312" w:cs="仿宋_GB2312"/>
          <w:b w:val="0"/>
          <w:bCs w:val="0"/>
          <w:color w:val="000000"/>
          <w:kern w:val="0"/>
          <w:sz w:val="32"/>
          <w:szCs w:val="32"/>
          <w:lang w:val="en-US" w:eastAsia="zh-CN"/>
        </w:rPr>
        <w:t>1篇。</w:t>
      </w:r>
    </w:p>
    <w:p w14:paraId="25BA1D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firstLineChars="20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（二）技术指标</w:t>
      </w:r>
    </w:p>
    <w:p w14:paraId="5B4354D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val="0"/>
        <w:wordWrap/>
        <w:overflowPunct/>
        <w:topLinePunct w:val="0"/>
        <w:autoSpaceDE w:val="0"/>
        <w:autoSpaceDN w:val="0"/>
        <w:bidi w:val="0"/>
        <w:adjustRightInd w:val="0"/>
        <w:snapToGrid w:val="0"/>
        <w:spacing w:before="0" w:beforeAutospacing="0" w:after="0" w:afterAutospacing="0" w:line="560" w:lineRule="exact"/>
        <w:ind w:right="0" w:rightChars="0" w:firstLine="640" w:firstLineChars="20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color w:val="000000"/>
          <w:sz w:val="32"/>
          <w:szCs w:val="32"/>
          <w:lang w:val="en-US" w:eastAsia="en-US" w:bidi="ar-SA"/>
        </w:rPr>
        <w:t>1.</w:t>
      </w:r>
      <w:r>
        <w:rPr>
          <w:rFonts w:hint="eastAsia" w:ascii="仿宋_GB2312" w:hAnsi="仿宋_GB2312" w:eastAsia="仿宋_GB2312" w:cs="仿宋_GB2312"/>
          <w:color w:val="000000"/>
          <w:sz w:val="32"/>
          <w:szCs w:val="32"/>
        </w:rPr>
        <w:t>建立血细胞分析仪脂血干扰识别与校正标准化操作流程；</w:t>
      </w:r>
    </w:p>
    <w:p w14:paraId="6BA0BF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val="0"/>
        <w:wordWrap/>
        <w:overflowPunct/>
        <w:topLinePunct w:val="0"/>
        <w:autoSpaceDE w:val="0"/>
        <w:autoSpaceDN w:val="0"/>
        <w:bidi w:val="0"/>
        <w:adjustRightInd w:val="0"/>
        <w:snapToGrid w:val="0"/>
        <w:spacing w:before="0" w:beforeAutospacing="0" w:after="0" w:afterAutospacing="0" w:line="560" w:lineRule="exact"/>
        <w:ind w:right="0" w:rightChars="0" w:firstLine="640" w:firstLineChars="20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color w:val="000000"/>
          <w:sz w:val="32"/>
          <w:szCs w:val="32"/>
          <w:lang w:val="en-US" w:eastAsia="en-US" w:bidi="ar-SA"/>
        </w:rPr>
        <w:t>2.</w:t>
      </w:r>
      <w:r>
        <w:rPr>
          <w:rFonts w:hint="eastAsia" w:ascii="仿宋_GB2312" w:hAnsi="仿宋_GB2312" w:eastAsia="仿宋_GB2312" w:cs="仿宋_GB2312"/>
          <w:color w:val="000000"/>
          <w:sz w:val="32"/>
          <w:szCs w:val="32"/>
        </w:rPr>
        <w:t>构建具备临床实用价值的 TTP 人工智能筛查模型，并完成效能评估</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基于以上研究</w:t>
      </w:r>
      <w:r>
        <w:rPr>
          <w:rFonts w:hint="eastAsia" w:ascii="仿宋_GB2312" w:hAnsi="仿宋_GB2312" w:eastAsia="仿宋_GB2312" w:cs="仿宋_GB2312"/>
          <w:color w:val="000000"/>
          <w:kern w:val="0"/>
          <w:sz w:val="32"/>
          <w:szCs w:val="32"/>
          <w:lang w:val="en-US" w:eastAsia="zh-CN" w:bidi="ar"/>
        </w:rPr>
        <w:t>形成完整一体化临床研究报告1份。</w:t>
      </w:r>
    </w:p>
    <w:p w14:paraId="387DE3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四、项目实施年限</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bidi="ar"/>
        </w:rPr>
        <w:t>不超过2年</w:t>
      </w:r>
    </w:p>
    <w:p w14:paraId="39ACC9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b w:val="0"/>
          <w:bCs w:val="0"/>
          <w:spacing w:val="8"/>
          <w:sz w:val="32"/>
          <w:szCs w:val="32"/>
          <w:highlight w:val="none"/>
          <w:lang w:val="en-US" w:eastAsia="zh-CN"/>
        </w:rPr>
      </w:pPr>
      <w:r>
        <w:rPr>
          <w:rFonts w:hint="eastAsia" w:ascii="仿宋_GB2312" w:hAnsi="仿宋_GB2312" w:eastAsia="仿宋_GB2312" w:cs="仿宋_GB2312"/>
          <w:color w:val="000000"/>
          <w:sz w:val="32"/>
          <w:szCs w:val="32"/>
        </w:rPr>
        <w:t>五、资助金额</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kern w:val="0"/>
          <w:sz w:val="32"/>
          <w:szCs w:val="32"/>
          <w:lang w:val="en-US" w:eastAsia="zh-CN" w:bidi="ar"/>
        </w:rPr>
        <w:t>不超过20万元</w:t>
      </w:r>
    </w:p>
    <w:p w14:paraId="0327AFB2">
      <w:pPr>
        <w:keepNext w:val="0"/>
        <w:keepLines w:val="0"/>
        <w:pageBreakBefore w:val="0"/>
        <w:wordWrap/>
        <w:overflowPunct/>
        <w:topLinePunct w:val="0"/>
        <w:bidi w:val="0"/>
        <w:spacing w:line="520" w:lineRule="exact"/>
        <w:jc w:val="center"/>
        <w:outlineLvl w:val="0"/>
        <w:rPr>
          <w:rFonts w:hint="eastAsia" w:ascii="方正小标宋简体" w:hAnsi="方正小标宋简体" w:eastAsia="方正小标宋简体" w:cs="方正小标宋简体"/>
          <w:b/>
          <w:bCs/>
          <w:sz w:val="44"/>
          <w:szCs w:val="44"/>
          <w:lang w:eastAsia="zh-CN"/>
        </w:rPr>
      </w:pPr>
      <w:bookmarkStart w:id="21" w:name="_Toc1759"/>
      <w:r>
        <w:rPr>
          <w:rFonts w:hint="eastAsia" w:ascii="方正小标宋简体" w:hAnsi="方正小标宋简体" w:eastAsia="方正小标宋简体" w:cs="方正小标宋简体"/>
          <w:b w:val="0"/>
          <w:bCs w:val="0"/>
          <w:spacing w:val="8"/>
          <w:sz w:val="44"/>
          <w:szCs w:val="44"/>
          <w:lang w:val="en-US" w:eastAsia="zh-CN"/>
        </w:rPr>
        <w:t>重</w:t>
      </w:r>
      <w:r>
        <w:rPr>
          <w:rFonts w:hint="eastAsia" w:ascii="方正小标宋简体" w:hAnsi="方正小标宋简体" w:eastAsia="方正小标宋简体" w:cs="方正小标宋简体"/>
          <w:b w:val="0"/>
          <w:bCs w:val="0"/>
          <w:spacing w:val="8"/>
          <w:sz w:val="44"/>
          <w:szCs w:val="44"/>
          <w:lang w:eastAsia="zh-CN"/>
        </w:rPr>
        <w:t>20260</w:t>
      </w:r>
      <w:r>
        <w:rPr>
          <w:rFonts w:hint="eastAsia" w:ascii="方正小标宋简体" w:hAnsi="方正小标宋简体" w:eastAsia="方正小标宋简体" w:cs="方正小标宋简体"/>
          <w:b w:val="0"/>
          <w:bCs w:val="0"/>
          <w:spacing w:val="8"/>
          <w:sz w:val="44"/>
          <w:szCs w:val="44"/>
          <w:lang w:val="en-US" w:eastAsia="zh-CN"/>
        </w:rPr>
        <w:t>8</w:t>
      </w:r>
      <w:r>
        <w:rPr>
          <w:rFonts w:hint="eastAsia" w:ascii="方正小标宋简体" w:hAnsi="方正小标宋简体" w:eastAsia="方正小标宋简体" w:cs="方正小标宋简体"/>
          <w:b w:val="0"/>
          <w:bCs w:val="0"/>
          <w:spacing w:val="8"/>
          <w:sz w:val="44"/>
          <w:szCs w:val="44"/>
          <w:lang w:eastAsia="zh-CN"/>
        </w:rPr>
        <w:t>0</w:t>
      </w:r>
      <w:r>
        <w:rPr>
          <w:rFonts w:hint="eastAsia" w:ascii="方正小标宋简体" w:hAnsi="方正小标宋简体" w:eastAsia="方正小标宋简体" w:cs="方正小标宋简体"/>
          <w:b w:val="0"/>
          <w:bCs w:val="0"/>
          <w:spacing w:val="8"/>
          <w:sz w:val="44"/>
          <w:szCs w:val="44"/>
          <w:lang w:val="en-US" w:eastAsia="zh-CN"/>
        </w:rPr>
        <w:t xml:space="preserve">20 </w:t>
      </w:r>
      <w:r>
        <w:rPr>
          <w:rFonts w:hint="eastAsia" w:ascii="方正小标宋简体" w:hAnsi="方正小标宋简体" w:eastAsia="方正小标宋简体" w:cs="方正小标宋简体"/>
          <w:b w:val="0"/>
          <w:bCs w:val="0"/>
          <w:sz w:val="44"/>
          <w:szCs w:val="44"/>
          <w:lang w:eastAsia="zh-CN"/>
        </w:rPr>
        <w:t>全自动化学发光免疫分析仪推广应用多中心临床研究</w:t>
      </w:r>
      <w:bookmarkEnd w:id="21"/>
    </w:p>
    <w:p w14:paraId="6189DBAF">
      <w:pPr>
        <w:keepNext w:val="0"/>
        <w:keepLines w:val="0"/>
        <w:pageBreakBefore w:val="0"/>
        <w:wordWrap/>
        <w:overflowPunct/>
        <w:topLinePunct w:val="0"/>
        <w:bidi w:val="0"/>
        <w:spacing w:line="520" w:lineRule="exact"/>
        <w:rPr>
          <w:rFonts w:hint="eastAsia"/>
        </w:rPr>
      </w:pPr>
    </w:p>
    <w:p w14:paraId="52AE63A9">
      <w:pPr>
        <w:keepNext w:val="0"/>
        <w:keepLines w:val="0"/>
        <w:pageBreakBefore w:val="0"/>
        <w:wordWrap/>
        <w:overflowPunct/>
        <w:topLinePunct w:val="0"/>
        <w:bidi w:val="0"/>
        <w:spacing w:line="520" w:lineRule="exact"/>
        <w:rPr>
          <w:rFonts w:hint="default"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一、领域：</w:t>
      </w:r>
      <w:r>
        <w:rPr>
          <w:rFonts w:hint="eastAsia" w:ascii="仿宋_GB2312" w:hAnsi="仿宋_GB2312" w:eastAsia="仿宋_GB2312" w:cs="仿宋_GB2312"/>
          <w:snapToGrid w:val="0"/>
          <w:color w:val="000000"/>
          <w:spacing w:val="8"/>
          <w:sz w:val="32"/>
          <w:szCs w:val="32"/>
          <w:lang w:val="en-US" w:eastAsia="zh-CN" w:bidi="ar-SA"/>
        </w:rPr>
        <w:t>免疫检测</w:t>
      </w:r>
    </w:p>
    <w:p w14:paraId="54772AC6">
      <w:pPr>
        <w:keepNext w:val="0"/>
        <w:keepLines w:val="0"/>
        <w:pageBreakBefore w:val="0"/>
        <w:wordWrap/>
        <w:overflowPunct/>
        <w:topLinePunct w:val="0"/>
        <w:bidi w:val="0"/>
        <w:spacing w:line="520" w:lineRule="exact"/>
        <w:rPr>
          <w:rFonts w:hint="eastAsia" w:ascii="仿宋_GB2312" w:hAnsi="仿宋_GB2312" w:eastAsia="仿宋_GB2312" w:cs="仿宋_GB2312"/>
          <w:b/>
          <w:bCs/>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二、主要研究内容</w:t>
      </w:r>
    </w:p>
    <w:p w14:paraId="68AF2314">
      <w:pPr>
        <w:keepNext w:val="0"/>
        <w:keepLines w:val="0"/>
        <w:pageBreakBefore w:val="0"/>
        <w:wordWrap/>
        <w:overflowPunct/>
        <w:topLinePunct w:val="0"/>
        <w:bidi w:val="0"/>
        <w:spacing w:line="520" w:lineRule="exact"/>
        <w:ind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（一）在心血管/性激素/甲功/高血压/肿瘤/传染病等影响居民健康的疾病检测领域实施临床应用；开展一定数量的临床应用数据收集与对比评价，完成重要检测项目的分析性能等评价研究；</w:t>
      </w:r>
    </w:p>
    <w:p w14:paraId="7663B5B1">
      <w:pPr>
        <w:keepNext w:val="0"/>
        <w:keepLines w:val="0"/>
        <w:pageBreakBefore w:val="0"/>
        <w:wordWrap/>
        <w:overflowPunct/>
        <w:topLinePunct w:val="0"/>
        <w:bidi w:val="0"/>
        <w:spacing w:line="520" w:lineRule="exact"/>
        <w:ind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（二）开展TSH抗巨TSH干扰能力评价研究，建立TSH干扰样本库，分析TSH各干扰发生频率；</w:t>
      </w:r>
      <w:bookmarkStart w:id="22" w:name="_GoBack"/>
      <w:bookmarkEnd w:id="22"/>
    </w:p>
    <w:p w14:paraId="7BA784D8">
      <w:pPr>
        <w:keepNext w:val="0"/>
        <w:keepLines w:val="0"/>
        <w:pageBreakBefore w:val="0"/>
        <w:wordWrap/>
        <w:overflowPunct/>
        <w:topLinePunct w:val="0"/>
        <w:bidi w:val="0"/>
        <w:spacing w:line="520" w:lineRule="exact"/>
        <w:ind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（三）开展游离睾酮、总睾酮在多囊卵巢综合征中的临床应用价值研究及性能评价。</w:t>
      </w:r>
    </w:p>
    <w:p w14:paraId="620477A5">
      <w:pPr>
        <w:keepNext w:val="0"/>
        <w:keepLines w:val="0"/>
        <w:pageBreakBefore w:val="0"/>
        <w:wordWrap/>
        <w:overflowPunct/>
        <w:topLinePunct w:val="0"/>
        <w:bidi w:val="0"/>
        <w:spacing w:line="520" w:lineRule="exact"/>
        <w:rPr>
          <w:rFonts w:hint="eastAsia" w:ascii="仿宋_GB2312" w:hAnsi="仿宋_GB2312" w:eastAsia="仿宋_GB2312" w:cs="仿宋_GB2312"/>
          <w:b/>
          <w:bCs/>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三、项目考核指标（项目执行期内）</w:t>
      </w:r>
    </w:p>
    <w:p w14:paraId="20DDE069">
      <w:pPr>
        <w:keepNext w:val="0"/>
        <w:keepLines w:val="0"/>
        <w:pageBreakBefore w:val="0"/>
        <w:wordWrap/>
        <w:overflowPunct/>
        <w:topLinePunct w:val="0"/>
        <w:bidi w:val="0"/>
        <w:spacing w:line="520" w:lineRule="exact"/>
        <w:ind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（一）学术指标：共同发表学术论文≥1篇。</w:t>
      </w:r>
    </w:p>
    <w:p w14:paraId="13C3A954">
      <w:pPr>
        <w:keepNext w:val="0"/>
        <w:keepLines w:val="0"/>
        <w:pageBreakBefore w:val="0"/>
        <w:wordWrap/>
        <w:overflowPunct/>
        <w:topLinePunct w:val="0"/>
        <w:bidi w:val="0"/>
        <w:spacing w:line="520" w:lineRule="exact"/>
        <w:ind w:firstLine="672" w:firstLineChars="200"/>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snapToGrid w:val="0"/>
          <w:color w:val="000000"/>
          <w:spacing w:val="8"/>
          <w:sz w:val="32"/>
          <w:szCs w:val="32"/>
          <w:lang w:val="en-US" w:eastAsia="zh-CN" w:bidi="ar-SA"/>
        </w:rPr>
        <w:t>（二）技术指标：通过多中心临床评价，对高端全自动化学发光免疫分析系统产品性能等开展评价研究，形成≥1份项目评估报告。</w:t>
      </w:r>
    </w:p>
    <w:p w14:paraId="371D446B">
      <w:pPr>
        <w:keepNext w:val="0"/>
        <w:keepLines w:val="0"/>
        <w:pageBreakBefore w:val="0"/>
        <w:wordWrap/>
        <w:overflowPunct/>
        <w:topLinePunct w:val="0"/>
        <w:bidi w:val="0"/>
        <w:spacing w:line="520" w:lineRule="exact"/>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四、项目实施年限：</w:t>
      </w:r>
      <w:r>
        <w:rPr>
          <w:rFonts w:hint="eastAsia" w:ascii="仿宋_GB2312" w:hAnsi="仿宋_GB2312" w:eastAsia="仿宋_GB2312" w:cs="仿宋_GB2312"/>
          <w:snapToGrid w:val="0"/>
          <w:color w:val="000000"/>
          <w:spacing w:val="8"/>
          <w:sz w:val="32"/>
          <w:szCs w:val="32"/>
          <w:lang w:val="en-US" w:eastAsia="zh-CN" w:bidi="ar-SA"/>
        </w:rPr>
        <w:t>不超过2年</w:t>
      </w:r>
    </w:p>
    <w:p w14:paraId="5B75DCB6">
      <w:pPr>
        <w:keepNext w:val="0"/>
        <w:keepLines w:val="0"/>
        <w:pageBreakBefore w:val="0"/>
        <w:wordWrap/>
        <w:overflowPunct/>
        <w:topLinePunct w:val="0"/>
        <w:bidi w:val="0"/>
        <w:spacing w:line="520" w:lineRule="exact"/>
        <w:rPr>
          <w:rFonts w:hint="eastAsia" w:ascii="仿宋_GB2312" w:hAnsi="仿宋_GB2312" w:eastAsia="仿宋_GB2312" w:cs="仿宋_GB2312"/>
          <w:snapToGrid w:val="0"/>
          <w:color w:val="000000"/>
          <w:spacing w:val="8"/>
          <w:sz w:val="32"/>
          <w:szCs w:val="32"/>
          <w:lang w:val="en-US" w:eastAsia="zh-CN" w:bidi="ar-SA"/>
        </w:rPr>
      </w:pPr>
      <w:r>
        <w:rPr>
          <w:rFonts w:hint="eastAsia" w:ascii="仿宋_GB2312" w:hAnsi="仿宋_GB2312" w:eastAsia="仿宋_GB2312" w:cs="仿宋_GB2312"/>
          <w:b/>
          <w:bCs/>
          <w:snapToGrid w:val="0"/>
          <w:color w:val="000000"/>
          <w:spacing w:val="8"/>
          <w:sz w:val="32"/>
          <w:szCs w:val="32"/>
          <w:lang w:val="en-US" w:eastAsia="zh-CN" w:bidi="ar-SA"/>
        </w:rPr>
        <w:t>五、资助金额：</w:t>
      </w:r>
      <w:r>
        <w:rPr>
          <w:rFonts w:hint="eastAsia" w:ascii="仿宋_GB2312" w:hAnsi="仿宋_GB2312" w:eastAsia="仿宋_GB2312" w:cs="仿宋_GB2312"/>
          <w:snapToGrid w:val="0"/>
          <w:color w:val="000000"/>
          <w:spacing w:val="8"/>
          <w:sz w:val="32"/>
          <w:szCs w:val="32"/>
          <w:lang w:val="en-US" w:eastAsia="zh-CN" w:bidi="ar-SA"/>
        </w:rPr>
        <w:t>不超过100万元</w:t>
      </w:r>
    </w:p>
    <w:p w14:paraId="58AC9D28">
      <w:pPr>
        <w:keepNext w:val="0"/>
        <w:keepLines w:val="0"/>
        <w:pageBreakBefore w:val="0"/>
        <w:wordWrap/>
        <w:overflowPunct/>
        <w:topLinePunct w:val="0"/>
        <w:bidi w:val="0"/>
        <w:spacing w:line="520" w:lineRule="exact"/>
      </w:pPr>
    </w:p>
    <w:p w14:paraId="45E854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jc w:val="left"/>
        <w:textAlignment w:val="baseline"/>
        <w:rPr>
          <w:rFonts w:hint="eastAsia" w:ascii="仿宋_GB2312" w:hAnsi="仿宋_GB2312" w:eastAsia="仿宋_GB2312" w:cs="仿宋_GB2312"/>
          <w:color w:val="000000"/>
          <w:kern w:val="0"/>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9C9DC77-A2A3-4DF0-87E4-D15AFFA43680}"/>
  </w:font>
  <w:font w:name="黑体">
    <w:panose1 w:val="02010609060101010101"/>
    <w:charset w:val="86"/>
    <w:family w:val="auto"/>
    <w:pitch w:val="default"/>
    <w:sig w:usb0="800002BF" w:usb1="38CF7CFA" w:usb2="00000016" w:usb3="00000000" w:csb0="00040001" w:csb1="00000000"/>
    <w:embedRegular r:id="rId2" w:fontKey="{81A5C197-6F7B-4503-965A-54285B032A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95A4C0A-2356-4323-B030-1C40023395F5}"/>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67083D52-1CF8-4A50-AA3E-5F10229324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1AF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63D59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63D59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807598"/>
    <w:multiLevelType w:val="singleLevel"/>
    <w:tmpl w:val="D2807598"/>
    <w:lvl w:ilvl="0" w:tentative="0">
      <w:start w:val="2"/>
      <w:numFmt w:val="chineseCounting"/>
      <w:suff w:val="nothing"/>
      <w:lvlText w:val="（%1）"/>
      <w:lvlJc w:val="left"/>
      <w:rPr>
        <w:rFonts w:hint="eastAsia"/>
      </w:rPr>
    </w:lvl>
  </w:abstractNum>
  <w:abstractNum w:abstractNumId="1">
    <w:nsid w:val="DEA41158"/>
    <w:multiLevelType w:val="singleLevel"/>
    <w:tmpl w:val="DEA41158"/>
    <w:lvl w:ilvl="0" w:tentative="0">
      <w:start w:val="1"/>
      <w:numFmt w:val="chineseCounting"/>
      <w:suff w:val="nothing"/>
      <w:lvlText w:val="%1、"/>
      <w:lvlJc w:val="left"/>
      <w:rPr>
        <w:rFonts w:hint="eastAsia"/>
      </w:rPr>
    </w:lvl>
  </w:abstractNum>
  <w:abstractNum w:abstractNumId="2">
    <w:nsid w:val="7C78521E"/>
    <w:multiLevelType w:val="singleLevel"/>
    <w:tmpl w:val="7C78521E"/>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C10FA"/>
    <w:rsid w:val="030660E5"/>
    <w:rsid w:val="16BB6A14"/>
    <w:rsid w:val="1A7C5376"/>
    <w:rsid w:val="1C7F5BF0"/>
    <w:rsid w:val="1DC67B65"/>
    <w:rsid w:val="252966D9"/>
    <w:rsid w:val="2D672EF8"/>
    <w:rsid w:val="422C10FA"/>
    <w:rsid w:val="45921213"/>
    <w:rsid w:val="475542CC"/>
    <w:rsid w:val="49F9270E"/>
    <w:rsid w:val="51D74039"/>
    <w:rsid w:val="60CB1554"/>
    <w:rsid w:val="79BC3B39"/>
    <w:rsid w:val="7BBD6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1"/>
      <w:szCs w:val="31"/>
    </w:rPr>
  </w:style>
  <w:style w:type="paragraph" w:styleId="5">
    <w:name w:val="footer"/>
    <w:basedOn w:val="1"/>
    <w:qFormat/>
    <w:uiPriority w:val="0"/>
    <w:pPr>
      <w:tabs>
        <w:tab w:val="center" w:pos="4153"/>
        <w:tab w:val="right" w:pos="8306"/>
      </w:tabs>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Normal (Web)"/>
    <w:basedOn w:val="1"/>
    <w:qFormat/>
    <w:uiPriority w:val="0"/>
    <w:rPr>
      <w:sz w:val="24"/>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afbc9550-bc78-47cd-8cf5-d8636ec8642b</errorID>
      <errorWord>（</errorWord>
      <group>L1_Punc</group>
      <groupName>标点问题</groupName>
      <ability>L2_Punc_CN</ability>
      <abilityName>标点符号问题</abilityName>
      <candidateList/>
      <explain>同一形式括号套用。</explain>
      <paraID>29CD457C</paraID>
      <start>58</start>
      <end>59</end>
      <status>unmodified</status>
      <modifiedWord/>
      <trackRevisions>false</trackRevisions>
    </reviewItem>
    <reviewItem>
      <errorID>257b04f9-5ea6-4623-a8c7-3ba9dd0641b9</errorID>
      <errorWord>(</errorWord>
      <group>L1_Punc</group>
      <groupName>标点问题</groupName>
      <ability>L2_Punc_CN</ability>
      <abilityName>标点符号问题</abilityName>
      <candidateList/>
      <explain>同一形式括号套用。</explain>
      <paraID>29CD457C</paraID>
      <start>66</start>
      <end>67</end>
      <status>unmodified</status>
      <modifiedWord/>
      <trackRevisions>false</trackRevisions>
    </reviewItem>
    <reviewItem>
      <errorID>d9a975c2-6110-4f43-9a4f-fec81b242f0a</errorID>
      <errorWord>)</errorWord>
      <group>L1_Punc</group>
      <groupName>标点问题</groupName>
      <ability>L2_Punc_CN</ability>
      <abilityName>标点符号问题</abilityName>
      <candidateList/>
      <explain>同一形式括号套用。</explain>
      <paraID>29CD457C</paraID>
      <start>70</start>
      <end>71</end>
      <status>unmodified</status>
      <modifiedWord/>
      <trackRevisions>false</trackRevisions>
    </reviewItem>
    <reviewItem>
      <errorID>9946a7ac-96d4-4061-a4bd-2871fb2126e6</errorID>
      <errorWord>）</errorWord>
      <group>L1_Punc</group>
      <groupName>标点问题</groupName>
      <ability>L2_Punc_CN</ability>
      <abilityName>标点符号问题</abilityName>
      <candidateList/>
      <explain>同一形式括号套用。</explain>
      <paraID>29CD457C</paraID>
      <start>91</start>
      <end>92</end>
      <status>unmodified</status>
      <modifiedWord/>
      <trackRevisions>false</trackRevisions>
    </reviewItem>
    <reviewItem>
      <errorID>6f67957f-a90a-49c4-b3f2-a6c974bc144b</errorID>
      <errorWord>的应用价值</errorWord>
      <group>L1_Grammar</group>
      <groupName>语法问题</groupName>
      <ability>L2_Order</ability>
      <abilityName>语序不当</abilityName>
      <candidateList>
        <item>应用价值的</item>
      </candidateList>
      <explain>句子可能没有遵循时空、逻辑顺序，或者介词、关联词等位置不当。</explain>
      <paraID>44CAAE0B</paraID>
      <start>59</start>
      <end>64</end>
      <status>unmodified</status>
      <modifiedWord/>
      <trackRevisions>false</trackRevisions>
    </reviewItem>
    <reviewItem>
      <errorID>45d7423a-6a76-4160-9192-1a9680728a7c</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7663B5B1</paraID>
      <start>13</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a52496-0af2-4bb8-9efe-379af1777f08}">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9362</Words>
  <Characters>10428</Characters>
  <Lines>0</Lines>
  <Paragraphs>0</Paragraphs>
  <TotalTime>4</TotalTime>
  <ScaleCrop>false</ScaleCrop>
  <LinksUpToDate>false</LinksUpToDate>
  <CharactersWithSpaces>10573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2026-08-07T09:58:00Z</dcterms:created>
  <dc:creator>Elfinsword、</dc:creator>
  <cp:lastModifiedBy>Elfinsword、</cp:lastModifiedBy>
  <dcterms:modified xsi:type="dcterms:W3CDTF">2026-08-11T08:08:52Z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5FED00AD45584D36AB4B763E0CB83170_13</vt:lpwstr>
  </property>
  <property fmtid="{D5CDD505-2E9C-101B-9397-08002B2CF9AE}" pid="4" name="KSOTemplateDocerSaveRecord">
    <vt:lpwstr>eyJoZGlkIjoiNDQzMzQwMmVhMDMxNmMxOTI4ZWZjYWVhYmU0ZjQyNDgiLCJ1c2VySWQiOiIzNTE1MjMxMzUifQ==</vt:lpwstr>
  </property>
</Properties>
</file>