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DA218">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MR部分</w:t>
      </w:r>
      <w:r>
        <w:rPr>
          <w:rFonts w:hint="eastAsia" w:ascii="仿宋_GB2312" w:hAnsi="仿宋_GB2312" w:eastAsia="仿宋_GB2312" w:cs="仿宋_GB2312"/>
          <w:bCs/>
          <w:sz w:val="32"/>
          <w:szCs w:val="32"/>
        </w:rPr>
        <w:t>】</w:t>
      </w:r>
    </w:p>
    <w:p w14:paraId="56F75796">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面202607001 </w:t>
      </w:r>
      <w:r>
        <w:rPr>
          <w:rFonts w:hint="eastAsia" w:ascii="方正小标宋简体" w:hAnsi="方正小标宋简体" w:eastAsia="方正小标宋简体" w:cs="方正小标宋简体"/>
          <w:sz w:val="44"/>
          <w:szCs w:val="44"/>
        </w:rPr>
        <w:t>多模态超声联合磁共振（MR）预测子宫肌瘤与子宫腺肌瘤消融疗效的临床研究</w:t>
      </w:r>
    </w:p>
    <w:p w14:paraId="36476CB6">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rPr>
      </w:pPr>
    </w:p>
    <w:p w14:paraId="4C7F4A3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磁共振成像</w:t>
      </w:r>
    </w:p>
    <w:p w14:paraId="163EEDE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主要研发内容</w:t>
      </w:r>
    </w:p>
    <w:p w14:paraId="5745A27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（一）基于多模态超声（二维超声、彩色多普勒、超声造影、弹性成像）联合MR与病理活检，开展子宫肌瘤与子宫腺肌瘤消融治疗预后评估的临床研究；</w:t>
      </w:r>
    </w:p>
    <w:p w14:paraId="646FF0B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（二）研究覆盖20–47岁有症状或子宫肌瘤、腺肌瘤患者，分析多模态超声与MR（T1WI、T2WI、DWI、动态增强）各指标与消融疗效（完全消融率、复发率、并发症发生率）的相关性；</w:t>
      </w:r>
    </w:p>
    <w:p w14:paraId="1E70E5A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（三）明确多模态超声定量参数、MR参数与病理特征（Ki-67、纤维化、MVD）的相关性；</w:t>
      </w:r>
    </w:p>
    <w:p w14:paraId="384FC92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（四）分析超声参数、MR参数、病理指标与消融疗效、症状改善关联，筛选核心预测指标；</w:t>
      </w:r>
    </w:p>
    <w:p w14:paraId="5A4C126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（五）构建并验证多模态超声联合MR、病理的消融疗效术前预测模型，由高年资超声、妇科医师评估预测准确性与临床应用价值。</w:t>
      </w:r>
    </w:p>
    <w:p w14:paraId="7817BFB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项目考核指标（项目执行期内）</w:t>
      </w:r>
    </w:p>
    <w:p w14:paraId="364455F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132例子宫肌瘤、腺肌瘤患者的多模态超声检查、超声引导下活检及消融治疗数据收集</w:t>
      </w:r>
      <w:r>
        <w:rPr>
          <w:rFonts w:hint="eastAsia" w:ascii="仿宋_GB2312" w:hAnsi="仿宋_GB2312" w:eastAsia="仿宋_GB2312" w:cs="仿宋_GB2312"/>
          <w:sz w:val="32"/>
          <w:szCs w:val="32"/>
          <w:lang w:eastAsia="zh-CN"/>
        </w:rPr>
        <w:t>；</w:t>
      </w:r>
    </w:p>
    <w:p w14:paraId="67BE2AA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明确多模态超声定量参数与MR参数、病理指标的相关性，筛选出具有独立预测价值的核心指标</w:t>
      </w:r>
      <w:r>
        <w:rPr>
          <w:rFonts w:hint="eastAsia" w:ascii="仿宋_GB2312" w:hAnsi="仿宋_GB2312" w:eastAsia="仿宋_GB2312" w:cs="仿宋_GB2312"/>
          <w:sz w:val="32"/>
          <w:szCs w:val="32"/>
          <w:lang w:eastAsia="zh-CN"/>
        </w:rPr>
        <w:t>；</w:t>
      </w:r>
    </w:p>
    <w:p w14:paraId="3572BC5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构建消融疗效、症状改善的综合预测模型，完成 ROC 曲线验证，形成</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评估报告</w:t>
      </w:r>
      <w:r>
        <w:rPr>
          <w:rFonts w:hint="eastAsia" w:ascii="仿宋_GB2312" w:hAnsi="仿宋_GB2312" w:eastAsia="仿宋_GB2312" w:cs="仿宋_GB2312"/>
          <w:sz w:val="32"/>
          <w:szCs w:val="32"/>
          <w:lang w:eastAsia="zh-CN"/>
        </w:rPr>
        <w:t>；</w:t>
      </w:r>
    </w:p>
    <w:p w14:paraId="026EFA5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发表高质量学术论文</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篇，形成预测模型应用规范与临床案例集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1份。</w:t>
      </w:r>
    </w:p>
    <w:p w14:paraId="6A58BA1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2年</w:t>
      </w:r>
    </w:p>
    <w:p w14:paraId="6780B6E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资助金额：</w:t>
      </w:r>
      <w:r>
        <w:rPr>
          <w:rFonts w:hint="eastAsia" w:ascii="仿宋_GB2312" w:hAnsi="仿宋_GB2312" w:eastAsia="仿宋_GB2312" w:cs="仿宋_GB2312"/>
          <w:sz w:val="32"/>
          <w:szCs w:val="32"/>
        </w:rPr>
        <w:t>不超过10</w:t>
      </w:r>
      <w:r>
        <w:rPr>
          <w:rFonts w:hint="eastAsia" w:ascii="仿宋_GB2312" w:hAnsi="仿宋_GB2312" w:eastAsia="仿宋_GB2312" w:cs="仿宋_GB2312"/>
          <w:sz w:val="32"/>
          <w:szCs w:val="32"/>
          <w:lang w:eastAsia="zh-CN"/>
        </w:rPr>
        <w:t>万元</w:t>
      </w:r>
    </w:p>
    <w:p w14:paraId="6AE36240">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bookmarkStart w:id="0" w:name="_Toc226466346"/>
      <w:r>
        <w:rPr>
          <w:rFonts w:hint="eastAsia" w:ascii="方正小标宋简体" w:hAnsi="方正小标宋简体" w:eastAsia="方正小标宋简体" w:cs="方正小标宋简体"/>
          <w:sz w:val="44"/>
          <w:szCs w:val="44"/>
          <w:lang w:val="en-US" w:eastAsia="zh-CN"/>
        </w:rPr>
        <w:t xml:space="preserve">面202607002 </w:t>
      </w:r>
      <w:r>
        <w:rPr>
          <w:rFonts w:hint="eastAsia" w:ascii="方正小标宋简体" w:hAnsi="方正小标宋简体" w:eastAsia="方正小标宋简体" w:cs="方正小标宋简体"/>
          <w:sz w:val="44"/>
          <w:szCs w:val="44"/>
        </w:rPr>
        <w:t>超高场磁共振在</w:t>
      </w:r>
      <w:r>
        <w:rPr>
          <w:rFonts w:hint="eastAsia" w:ascii="方正小标宋简体" w:hAnsi="方正小标宋简体" w:eastAsia="方正小标宋简体" w:cs="方正小标宋简体"/>
          <w:sz w:val="44"/>
          <w:szCs w:val="44"/>
          <w:lang w:val="en-US" w:eastAsia="zh-CN"/>
        </w:rPr>
        <w:t>骨</w:t>
      </w:r>
      <w:r>
        <w:rPr>
          <w:rFonts w:hint="eastAsia" w:ascii="方正小标宋简体" w:hAnsi="方正小标宋简体" w:eastAsia="方正小标宋简体" w:cs="方正小标宋简体"/>
          <w:sz w:val="44"/>
          <w:szCs w:val="44"/>
        </w:rPr>
        <w:t>关节疾病诊断及临床治疗策略指导方面的价值研究</w:t>
      </w:r>
      <w:bookmarkEnd w:id="0"/>
    </w:p>
    <w:p w14:paraId="303D18B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2EA6B9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磁共振成像</w:t>
      </w:r>
    </w:p>
    <w:p w14:paraId="662D64E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7684D9D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开展基于5.0T超导磁共振的膝关节高分辨率mpMRI 序列优化研究，评估解剖细微结构的显示优势，探讨对临床治疗策略的指导意义</w:t>
      </w:r>
      <w:r>
        <w:rPr>
          <w:rFonts w:hint="eastAsia" w:ascii="仿宋_GB2312" w:hAnsi="仿宋_GB2312" w:eastAsia="仿宋_GB2312" w:cs="仿宋_GB2312"/>
          <w:sz w:val="32"/>
          <w:szCs w:val="32"/>
          <w:lang w:eastAsia="zh-CN"/>
        </w:rPr>
        <w:t>。</w:t>
      </w:r>
    </w:p>
    <w:p w14:paraId="61A60AD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序列参数标准化：优化膝关节序列参数与三维扫描参数，提升解剖细节显示度与信噪比；</w:t>
      </w:r>
    </w:p>
    <w:p w14:paraId="39FA85C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图像质量控制：针对膝关节骨质、软骨、韧带及半月板的信号特点，研究显示各类病变显示的优势；</w:t>
      </w:r>
    </w:p>
    <w:p w14:paraId="5AEB6C4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结合临床精准诊断需求建立基于5T MR检查序列及三维成像及后处理流程规范</w:t>
      </w:r>
      <w:r>
        <w:rPr>
          <w:rFonts w:hint="eastAsia" w:ascii="仿宋_GB2312" w:hAnsi="仿宋_GB2312" w:eastAsia="仿宋_GB2312" w:cs="仿宋_GB2312"/>
          <w:sz w:val="32"/>
          <w:szCs w:val="32"/>
          <w:lang w:eastAsia="zh-CN"/>
        </w:rPr>
        <w:t>。</w:t>
      </w:r>
    </w:p>
    <w:p w14:paraId="08A159F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开展5.0T MR在膝关节退行性或创伤性关节疾病图像的诊断效能评估及对临床治疗策略指导价值研究。</w:t>
      </w:r>
    </w:p>
    <w:p w14:paraId="310545A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诊断准确性验证：将5T MR对膝关节解剖结构的显示，以关节镜检查或手术病理为金标准，评估5T的诊断准确性；</w:t>
      </w:r>
    </w:p>
    <w:p w14:paraId="324EDBB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临床应用价值：评估5T MR较3T MR检查在术前评估、手术策略指导意义上应用价值；</w:t>
      </w:r>
    </w:p>
    <w:p w14:paraId="165085A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三、项目考核指标（项目执行期内） </w:t>
      </w:r>
    </w:p>
    <w:p w14:paraId="2A232C2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1.构建标准化膝关节退行性或创伤性关节疾病影像及临床数据库，收集≥500例膝关节病经关节镜治疗的临床病例数据；</w:t>
      </w:r>
    </w:p>
    <w:p w14:paraId="2261DCF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2.制定5T MR膝关节检查方案及规范</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w:t>
      </w:r>
    </w:p>
    <w:p w14:paraId="1F67A35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3.建议5T MR在膝关节退行性或创伤性关节疾病诊断报告规范；</w:t>
      </w:r>
    </w:p>
    <w:p w14:paraId="65F0FFE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4.发表高质量学术论文≥1篇</w:t>
      </w:r>
      <w:r>
        <w:rPr>
          <w:rFonts w:hint="eastAsia" w:ascii="仿宋_GB2312" w:hAnsi="仿宋_GB2312" w:eastAsia="仿宋_GB2312" w:cs="仿宋_GB2312"/>
          <w:sz w:val="32"/>
          <w:szCs w:val="32"/>
          <w:lang w:eastAsia="zh-CN"/>
        </w:rPr>
        <w:t>；</w:t>
      </w:r>
    </w:p>
    <w:p w14:paraId="12ED732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5.项目执行期间参加年度成果交流会≥1次。</w:t>
      </w:r>
    </w:p>
    <w:p w14:paraId="6995A0C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sz w:val="32"/>
          <w:szCs w:val="32"/>
        </w:rPr>
        <w:t>不超过</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p>
    <w:p w14:paraId="2C45A8B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不超过20万元</w:t>
      </w:r>
    </w:p>
    <w:p w14:paraId="0765633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79B474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423BDE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168CB5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1F8001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37765C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A0AAEE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C59721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5ABA53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6072C9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1E5D06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73F7B8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A5E670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662B13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ABDF9C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D630D2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8FBA63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5A039CC">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重202607003 </w:t>
      </w:r>
      <w:r>
        <w:rPr>
          <w:rFonts w:hint="eastAsia" w:ascii="仿宋_GB2312" w:hAnsi="仿宋_GB2312" w:eastAsia="仿宋_GB2312" w:cs="仿宋_GB2312"/>
          <w:sz w:val="32"/>
          <w:szCs w:val="32"/>
        </w:rPr>
        <w:t xml:space="preserve"> </w:t>
      </w:r>
      <w:r>
        <w:rPr>
          <w:rFonts w:hint="eastAsia" w:ascii="方正小标宋简体" w:hAnsi="方正小标宋简体" w:eastAsia="方正小标宋简体" w:cs="方正小标宋简体"/>
          <w:sz w:val="44"/>
          <w:szCs w:val="44"/>
          <w:lang w:val="en-US" w:eastAsia="zh-CN"/>
        </w:rPr>
        <w:t>HIV相关神经认知损伤多模态预测模型构建及早期预警关键技术研究</w:t>
      </w:r>
    </w:p>
    <w:p w14:paraId="4C07F8B5">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2ED624B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磁共振成像</w:t>
      </w:r>
    </w:p>
    <w:p w14:paraId="684A957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主要研发内容</w:t>
      </w:r>
    </w:p>
    <w:p w14:paraId="1055813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（一）构建HIV相关脑认知损伤临床研究队列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面向HIV相关神经认知障碍早期识别和风险预警需求，建立规范化临床研究队列，系统收集研究对象的基本信息、疾病特征、治疗信息、神经认知评估结果及随访转归资料，形成支撑脑认知损伤发生发展规律研究的临床数据基础</w:t>
      </w:r>
      <w:r>
        <w:rPr>
          <w:rFonts w:hint="eastAsia" w:ascii="仿宋_GB2312" w:hAnsi="仿宋_GB2312" w:eastAsia="仿宋_GB2312" w:cs="仿宋_GB2312"/>
          <w:sz w:val="32"/>
          <w:szCs w:val="32"/>
          <w:lang w:eastAsia="zh-CN"/>
        </w:rPr>
        <w:t>；</w:t>
      </w:r>
    </w:p>
    <w:p w14:paraId="3B4A627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（二）开展高时空多模态数据采集与特征提取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围绕HIV相关脑认知损伤的脑功能、脑结构及免疫炎症改变，开展超高场多模态磁共振、脑电生理、免疫/病毒学等多维度数据采集，建立标准化采集、质控和特征提取流程，形成反映脑认知损伤早期变化的多模态特征体系</w:t>
      </w:r>
      <w:r>
        <w:rPr>
          <w:rFonts w:hint="eastAsia" w:ascii="仿宋_GB2312" w:hAnsi="仿宋_GB2312" w:eastAsia="仿宋_GB2312" w:cs="仿宋_GB2312"/>
          <w:sz w:val="32"/>
          <w:szCs w:val="32"/>
          <w:lang w:eastAsia="zh-CN"/>
        </w:rPr>
        <w:t>；</w:t>
      </w:r>
    </w:p>
    <w:p w14:paraId="2FB10A8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（三）构建多源异构融合预测模型与预警指标体系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融合临床、神经认知、脑电生理、神经影像及免疫/病毒学等多源数据，构建HIV相关脑认知损伤早期识别、进展风险评估和治疗转归预测模型，筛选具有临床解释性的关键预警指标，形成风险分层方法和临床应用评价方案。</w:t>
      </w:r>
    </w:p>
    <w:p w14:paraId="35EDFB4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项目考核指标（项目执行期内）</w:t>
      </w:r>
    </w:p>
    <w:p w14:paraId="533BA47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建立HIV相关脑认知损伤多模态临床研究队列，完成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200例研究对象入组及数据采集，其中HIV感染者及无症状神经认知损伤人群</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150例，对照人群</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50例，建立规范化临床研究数据库</w:t>
      </w:r>
      <w:r>
        <w:rPr>
          <w:rFonts w:hint="eastAsia" w:ascii="仿宋_GB2312" w:hAnsi="仿宋_GB2312" w:eastAsia="仿宋_GB2312" w:cs="仿宋_GB2312"/>
          <w:sz w:val="32"/>
          <w:szCs w:val="32"/>
          <w:lang w:eastAsia="zh-CN"/>
        </w:rPr>
        <w:t>；</w:t>
      </w:r>
    </w:p>
    <w:p w14:paraId="4A1C716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完成TMS-EEG、5T超高场多模态MRI及免疫/病毒学数据采集与质控；MRI数据应覆盖脑结构、脑功能、微结构、代谢或炎症等不少于三类关键维度</w:t>
      </w:r>
      <w:r>
        <w:rPr>
          <w:rFonts w:hint="eastAsia" w:ascii="仿宋_GB2312" w:hAnsi="仿宋_GB2312" w:eastAsia="仿宋_GB2312" w:cs="仿宋_GB2312"/>
          <w:sz w:val="32"/>
          <w:szCs w:val="32"/>
          <w:lang w:eastAsia="zh-CN"/>
        </w:rPr>
        <w:t>；</w:t>
      </w:r>
    </w:p>
    <w:p w14:paraId="6BF6964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建立多模态特征提取与融合分析流程，形成临床、神经认知、TMS-EEG、5T MRI及免疫/病毒学多源特征库</w:t>
      </w:r>
      <w:r>
        <w:rPr>
          <w:rFonts w:hint="eastAsia" w:ascii="仿宋_GB2312" w:hAnsi="仿宋_GB2312" w:eastAsia="仿宋_GB2312" w:cs="仿宋_GB2312"/>
          <w:sz w:val="32"/>
          <w:szCs w:val="32"/>
          <w:lang w:eastAsia="zh-CN"/>
        </w:rPr>
        <w:t>；</w:t>
      </w:r>
    </w:p>
    <w:p w14:paraId="6D287A7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构建HIV相关脑认知损伤多源异构融合预测模型，实现早期识别、进展风险评估或治疗转归预测，完成模型验证。形成HIV相关脑认知损伤早期预警指标体系、风险分层方法及临床应用评价报告</w:t>
      </w:r>
      <w:r>
        <w:rPr>
          <w:rFonts w:hint="eastAsia" w:ascii="仿宋_GB2312" w:hAnsi="仿宋_GB2312" w:eastAsia="仿宋_GB2312" w:cs="仿宋_GB2312"/>
          <w:sz w:val="32"/>
          <w:szCs w:val="32"/>
          <w:lang w:eastAsia="zh-CN"/>
        </w:rPr>
        <w:t>；</w:t>
      </w:r>
    </w:p>
    <w:p w14:paraId="67CBB0D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形成融合分析流程或预测模型及评价报告≥1份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发表相关论文≥1篇或申请专利或软件著作权≥1项</w:t>
      </w:r>
      <w:r>
        <w:rPr>
          <w:rFonts w:hint="eastAsia" w:ascii="仿宋_GB2312" w:hAnsi="仿宋_GB2312" w:eastAsia="仿宋_GB2312" w:cs="仿宋_GB2312"/>
          <w:sz w:val="32"/>
          <w:szCs w:val="32"/>
          <w:lang w:eastAsia="zh-CN"/>
        </w:rPr>
        <w:t>；</w:t>
      </w:r>
    </w:p>
    <w:p w14:paraId="7A637E1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项目执行期间参加年度成果交流会≥1次。</w:t>
      </w:r>
    </w:p>
    <w:p w14:paraId="3222672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2年</w:t>
      </w:r>
    </w:p>
    <w:p w14:paraId="6CDBA31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资助金额：</w:t>
      </w:r>
      <w:r>
        <w:rPr>
          <w:rFonts w:hint="eastAsia" w:ascii="仿宋_GB2312" w:hAnsi="仿宋_GB2312" w:eastAsia="仿宋_GB2312" w:cs="仿宋_GB2312"/>
          <w:sz w:val="32"/>
          <w:szCs w:val="32"/>
        </w:rPr>
        <w:t>不超过30万元</w:t>
      </w:r>
    </w:p>
    <w:p w14:paraId="19F0909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A5A0D7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6095F8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BEEE9B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1F669D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786100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BCA181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0F60F5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980587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B06C8E5">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重202607004 肝内胆管癌磁共振影像基础模型构建与解析免疫微环境异质性的研究</w:t>
      </w:r>
    </w:p>
    <w:p w14:paraId="1F9BF35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p>
    <w:p w14:paraId="41A91BD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磁共振成像</w:t>
      </w:r>
    </w:p>
    <w:p w14:paraId="293DEB2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二、主要研发内容：</w:t>
      </w:r>
    </w:p>
    <w:p w14:paraId="6EFD93A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本研究拟构建一个多中心、大样本的肝内胆管癌（iCCA）真实世界研究队列，旨在通过深度学习技术，建立以多参数磁共振为核心的影像免疫微环境（TIME）分型与治疗决策支持体系</w:t>
      </w:r>
      <w:r>
        <w:rPr>
          <w:rFonts w:hint="eastAsia" w:ascii="仿宋_GB2312" w:hAnsi="仿宋_GB2312" w:eastAsia="仿宋_GB2312" w:cs="仿宋_GB2312"/>
          <w:sz w:val="32"/>
          <w:szCs w:val="32"/>
          <w:lang w:eastAsia="zh-CN"/>
        </w:rPr>
        <w:t>；</w:t>
      </w:r>
    </w:p>
    <w:p w14:paraId="33663BB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针对iCCA复杂的解剖结构和跨中心数据异质性，将基于大规模、多中心的iCCA影像图像资料来构建iCCA的影像AI基础模型，将运用Swin Transformer的层级设计，捕捉浅层的局部图像纹理，融合图像之间深层的全局上下文信息</w:t>
      </w:r>
      <w:r>
        <w:rPr>
          <w:rFonts w:hint="eastAsia" w:ascii="仿宋_GB2312" w:hAnsi="仿宋_GB2312" w:eastAsia="仿宋_GB2312" w:cs="仿宋_GB2312"/>
          <w:sz w:val="32"/>
          <w:szCs w:val="32"/>
          <w:lang w:eastAsia="zh-CN"/>
        </w:rPr>
        <w:t>；</w:t>
      </w:r>
    </w:p>
    <w:p w14:paraId="133D320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多实例学习框架，通过弱监督策略挖掘影像AI基础模型与免疫表型相关的关键线索。拟将影像分型的价值直接落脚于临床最关切的治疗决策问题。通过构建独立的新辅助治疗队列和直接手术对照队列，系统评估影像预测的TIME亚型在不同治疗路径下的疗效差异和生存获益。</w:t>
      </w:r>
    </w:p>
    <w:p w14:paraId="675276A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5235076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2000例数据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通过大样本的肝内胆管癌磁共振图像，建立面向患者级免疫表型预测的多实例学习（MIL）框架，并以两个治疗队列用于疗效验证</w:t>
      </w:r>
      <w:r>
        <w:rPr>
          <w:rFonts w:hint="eastAsia" w:ascii="仿宋_GB2312" w:hAnsi="仿宋_GB2312" w:eastAsia="仿宋_GB2312" w:cs="仿宋_GB2312"/>
          <w:sz w:val="32"/>
          <w:szCs w:val="32"/>
          <w:lang w:eastAsia="zh-CN"/>
        </w:rPr>
        <w:t>；</w:t>
      </w:r>
    </w:p>
    <w:p w14:paraId="59BB697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在新辅助治疗队列中，利用术前mpMRI预测TIME亚型及免疫轴评分，并以真实治疗结局开展治疗学验证：以病理缓解为核心终点（包括MPR、pCR、残余肿瘤比例、坏死比例等），并结合影像客观缓解及生存结局与不良反应，系统比较不同亚型的敏感性与获益差异：对可能获益亚型优先推荐以免疫治疗为核心的新辅助策略并优化疗程强度；对髓系/基质抑制或免疫排斥主导亚型提示免疫单药应答概率有限，建议调整为更合理的围手术期治疗路径</w:t>
      </w:r>
      <w:r>
        <w:rPr>
          <w:rFonts w:hint="eastAsia" w:ascii="仿宋_GB2312" w:hAnsi="仿宋_GB2312" w:eastAsia="仿宋_GB2312" w:cs="仿宋_GB2312"/>
          <w:sz w:val="32"/>
          <w:szCs w:val="32"/>
          <w:lang w:eastAsia="zh-CN"/>
        </w:rPr>
        <w:t>；</w:t>
      </w:r>
    </w:p>
    <w:p w14:paraId="13500C1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FU-iCCA手术切除队列中应用同一模型进行术前TIME亚型预测，比较不同预测亚型的术后复发与生存结局，评估其对RFS与OS的分层能力及独立预后价值，为未接受新辅助治疗患者的术后强化治疗与随访策略选择提供依据</w:t>
      </w:r>
      <w:r>
        <w:rPr>
          <w:rFonts w:hint="eastAsia" w:ascii="仿宋_GB2312" w:hAnsi="仿宋_GB2312" w:eastAsia="仿宋_GB2312" w:cs="仿宋_GB2312"/>
          <w:sz w:val="32"/>
          <w:szCs w:val="32"/>
          <w:lang w:eastAsia="zh-CN"/>
        </w:rPr>
        <w:t>；</w:t>
      </w:r>
    </w:p>
    <w:p w14:paraId="671E73A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1篇或申请专利或软件著作权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r>
        <w:rPr>
          <w:rFonts w:hint="eastAsia" w:ascii="仿宋_GB2312" w:hAnsi="仿宋_GB2312" w:eastAsia="仿宋_GB2312" w:cs="仿宋_GB2312"/>
          <w:sz w:val="32"/>
          <w:szCs w:val="32"/>
          <w:lang w:eastAsia="zh-CN"/>
        </w:rPr>
        <w:t>；</w:t>
      </w:r>
    </w:p>
    <w:p w14:paraId="59E12C0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项目执行期间参加年度成果交流会</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w:t>
      </w:r>
    </w:p>
    <w:p w14:paraId="471A1C5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 xml:space="preserve">2年 </w:t>
      </w:r>
    </w:p>
    <w:p w14:paraId="4FBE86B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不超过30万元</w:t>
      </w:r>
    </w:p>
    <w:p w14:paraId="38EB4D5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83AE4E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B4BE08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23A4DF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D85735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B80356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D18C81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11356A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7F2955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0A45C4C">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b/>
          <w:bCs w:val="0"/>
          <w:sz w:val="32"/>
          <w:szCs w:val="32"/>
        </w:rPr>
      </w:pPr>
      <w:bookmarkStart w:id="1" w:name="_Toc226466349"/>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MI部分</w:t>
      </w:r>
      <w:bookmarkEnd w:id="1"/>
      <w:r>
        <w:rPr>
          <w:rFonts w:hint="eastAsia" w:ascii="仿宋_GB2312" w:hAnsi="仿宋_GB2312" w:eastAsia="仿宋_GB2312" w:cs="仿宋_GB2312"/>
          <w:bCs/>
          <w:sz w:val="32"/>
          <w:szCs w:val="32"/>
        </w:rPr>
        <w:t>】</w:t>
      </w:r>
    </w:p>
    <w:p w14:paraId="2B3C8291">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面202607005 基于PET/MR多模态影像的青少年抑郁症神经影像学特点及鉴别诊断研究</w:t>
      </w:r>
    </w:p>
    <w:p w14:paraId="10F2B66B">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4B69C09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一、领域：</w:t>
      </w:r>
      <w:r>
        <w:rPr>
          <w:rFonts w:hint="eastAsia" w:ascii="仿宋_GB2312" w:hAnsi="仿宋_GB2312" w:eastAsia="仿宋_GB2312" w:cs="仿宋_GB2312"/>
          <w:sz w:val="32"/>
          <w:szCs w:val="32"/>
          <w:lang w:eastAsia="zh-CN"/>
        </w:rPr>
        <w:t>分子影像</w:t>
      </w:r>
    </w:p>
    <w:p w14:paraId="330DC7A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二、主要研发内容</w:t>
      </w:r>
    </w:p>
    <w:p w14:paraId="32B236D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）多模态影像数据的采集与标准化预处理：利用联影uPMR 790 3.0T PET/MR一体机同步采集多模态影像数据，包括但不限于：① 高分辨率3D T1加权结构像；② 弥散张量成像（DTI）；③ 静息态功能磁共振（rs-fMRI）；④ [18F]FDG PET代谢成像。建立青少年抑郁症分析的标准化数据预处理流程；</w:t>
      </w:r>
    </w:p>
    <w:p w14:paraId="79EF1E7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青少年抑郁症异常模式探索：比较不同青少年抑郁症患者脑结构网络、功能网络、代谢的差异特征，识别疾病或状态特异性多模态异常模式；通过分析各模态指标在组内及组间的关联模式，揭示结构－功能－代谢的协同与解耦关系；探索结构改变－功能代偿－代谢异常的级联病理机制，阐明多模态神经影像标志物的病理生理学意义；</w:t>
      </w:r>
    </w:p>
    <w:p w14:paraId="657089D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青少年抑郁症神经影像学特征与临床表型的相关分析：通过对上述青少年抑郁症患者的多模态影像特征与临床评估指标进行关联分析，深入探索神经影像学特征与特定症状维度的关联，为建立兼具敏感性与特异性的神经影像学辅助评估体系奠定基础，最终服务于临床早期识别、疗效预测及及时个体化干预方案的制定；</w:t>
      </w:r>
    </w:p>
    <w:p w14:paraId="296478B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基于多模态神经影像特征的疾病分类/青少年抑郁症预测模型构建：基于上述多模态神经影像特征，采用机器学习方法，构建青少年抑郁症疾病分类或预测模型。重点评估多模态复合参数相比传统单模态指标的效能提升程度，筛选最具临床价值的神经影像学标志物组合。通过多源信息融合充分释放影像数据的潜在诊断效能，突破单一神经生物学指标敏感性或特异性不足的临床瓶颈。</w:t>
      </w:r>
    </w:p>
    <w:p w14:paraId="0E76B64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三、项目考核指标（项目执行期内）</w:t>
      </w:r>
    </w:p>
    <w:p w14:paraId="7B3BA06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1.纳入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30例目标疾病患者的多模态PET/MR数据；</w:t>
      </w:r>
    </w:p>
    <w:p w14:paraId="39865F3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2.通过比较青少年抑郁症患者多模态神经影像学数据差异特征，初步筛选出3—5个疾病特异性多模态神经影像候选标志物，区分自杀倾向抑郁症组与对照组的组间差异辨识度显著优于单模态常规指标；</w:t>
      </w:r>
    </w:p>
    <w:p w14:paraId="7300D23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1篇或申请发明专利或软件著作权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1项；</w:t>
      </w:r>
    </w:p>
    <w:p w14:paraId="018DA27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4.项目执行期间参加年度成果交流会</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次。</w:t>
      </w:r>
    </w:p>
    <w:p w14:paraId="319F378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lang w:eastAsia="zh-CN"/>
        </w:rPr>
        <w:t>2年</w:t>
      </w:r>
    </w:p>
    <w:p w14:paraId="44211C2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五、资助金额：</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lang w:eastAsia="zh-CN"/>
        </w:rPr>
        <w:t>20万元</w:t>
      </w:r>
    </w:p>
    <w:p w14:paraId="6662600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193BE6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5CFFFA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C62117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E91BD1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765912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val="0"/>
          <w:sz w:val="32"/>
          <w:szCs w:val="32"/>
        </w:rPr>
      </w:pPr>
      <w:bookmarkStart w:id="2" w:name="_Toc226466355"/>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CT部分</w:t>
      </w:r>
      <w:bookmarkEnd w:id="2"/>
      <w:r>
        <w:rPr>
          <w:rFonts w:hint="eastAsia" w:ascii="仿宋_GB2312" w:hAnsi="仿宋_GB2312" w:eastAsia="仿宋_GB2312" w:cs="仿宋_GB2312"/>
          <w:bCs/>
          <w:sz w:val="32"/>
          <w:szCs w:val="32"/>
        </w:rPr>
        <w:t>】</w:t>
      </w:r>
    </w:p>
    <w:p w14:paraId="51D4DEE5">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面202607006 胸CT机会性筛查在2型糖尿病患者骨折风险评估中的应用研究</w:t>
      </w:r>
    </w:p>
    <w:p w14:paraId="2147FE01">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216A830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bookmarkStart w:id="3" w:name="OLE_LINK6"/>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计算机断层扫描成像</w:t>
      </w:r>
    </w:p>
    <w:p w14:paraId="0E30882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主要研发内容</w:t>
      </w:r>
    </w:p>
    <w:bookmarkEnd w:id="3"/>
    <w:p w14:paraId="48AE366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（一）整合患者胸部CT影像、骨密度、生化指标及骨折随访数据，构建2型糖尿病骨影像及临床数据库</w:t>
      </w:r>
      <w:r>
        <w:rPr>
          <w:rFonts w:hint="eastAsia" w:ascii="仿宋_GB2312" w:hAnsi="仿宋_GB2312" w:eastAsia="仿宋_GB2312" w:cs="仿宋_GB2312"/>
          <w:sz w:val="32"/>
          <w:szCs w:val="32"/>
          <w:lang w:eastAsia="zh-CN"/>
        </w:rPr>
        <w:t>；</w:t>
      </w:r>
    </w:p>
    <w:p w14:paraId="10F2CBD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（二）依托人工智能与影像组学算法，开发胸椎AI影像组学分析技术，实现胸CT胸椎自动分割与影像特征提取</w:t>
      </w:r>
      <w:r>
        <w:rPr>
          <w:rFonts w:hint="eastAsia" w:ascii="仿宋_GB2312" w:hAnsi="仿宋_GB2312" w:eastAsia="仿宋_GB2312" w:cs="仿宋_GB2312"/>
          <w:sz w:val="32"/>
          <w:szCs w:val="32"/>
          <w:lang w:eastAsia="zh-CN"/>
        </w:rPr>
        <w:t>；</w:t>
      </w:r>
    </w:p>
    <w:p w14:paraId="77C3AE5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（三）融合影像组学、临床及生化指标，建立2型糖尿病患者脆性骨折风险AI预测模型，通过前瞻性队列验证并优化模型效能。</w:t>
      </w:r>
    </w:p>
    <w:p w14:paraId="2657E34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60A0435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构建标准化2型糖尿病患者胸CT研究数据库，整合影像、临床生化及骨折随访数据，有效病例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500例</w:t>
      </w:r>
      <w:r>
        <w:rPr>
          <w:rFonts w:hint="eastAsia" w:ascii="仿宋_GB2312" w:hAnsi="仿宋_GB2312" w:eastAsia="仿宋_GB2312" w:cs="仿宋_GB2312"/>
          <w:sz w:val="32"/>
          <w:szCs w:val="32"/>
          <w:lang w:eastAsia="zh-CN"/>
        </w:rPr>
        <w:t>；</w:t>
      </w:r>
    </w:p>
    <w:p w14:paraId="7F45432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建立胸椎AI影像组学分析技术，实现椎体自动识别、分割与影像组学特征提取，筛选可有效预测2型糖尿病患者骨质量异常及脆性骨折风险的核心影像指标</w:t>
      </w:r>
      <w:r>
        <w:rPr>
          <w:rFonts w:hint="eastAsia" w:ascii="仿宋_GB2312" w:hAnsi="仿宋_GB2312" w:eastAsia="仿宋_GB2312" w:cs="仿宋_GB2312"/>
          <w:sz w:val="32"/>
          <w:szCs w:val="32"/>
          <w:lang w:eastAsia="zh-CN"/>
        </w:rPr>
        <w:t>；</w:t>
      </w:r>
    </w:p>
    <w:p w14:paraId="1F2E902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构建2型糖尿病患者脆性骨折风险AI预测模型，经队列验证其预测效能，实现2型糖尿病骨折高危人群的早期精准识别</w:t>
      </w:r>
      <w:r>
        <w:rPr>
          <w:rFonts w:hint="eastAsia" w:ascii="仿宋_GB2312" w:hAnsi="仿宋_GB2312" w:eastAsia="仿宋_GB2312" w:cs="仿宋_GB2312"/>
          <w:sz w:val="32"/>
          <w:szCs w:val="32"/>
          <w:lang w:eastAsia="zh-CN"/>
        </w:rPr>
        <w:t>；</w:t>
      </w:r>
    </w:p>
    <w:p w14:paraId="5110B4A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发表相关论文≥1篇</w:t>
      </w:r>
      <w:r>
        <w:rPr>
          <w:rFonts w:hint="eastAsia" w:ascii="仿宋_GB2312" w:hAnsi="仿宋_GB2312" w:eastAsia="仿宋_GB2312" w:cs="仿宋_GB2312"/>
          <w:sz w:val="32"/>
          <w:szCs w:val="32"/>
          <w:lang w:eastAsia="zh-CN"/>
        </w:rPr>
        <w:t>；</w:t>
      </w:r>
    </w:p>
    <w:p w14:paraId="08EF9B4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项目执行期间参加年度成果交流会≥1次。</w:t>
      </w:r>
    </w:p>
    <w:p w14:paraId="55BA7F6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2年</w:t>
      </w:r>
    </w:p>
    <w:p w14:paraId="523863E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不超过20万元</w:t>
      </w:r>
    </w:p>
    <w:p w14:paraId="740328A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BFDC25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6C78F7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754068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DDC539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CB789D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4A4102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0B33BB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540888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BB9D9F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C59395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6D918F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6A190F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CB6CD4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7374E6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4F732D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567CC0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C947F7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DF1025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F6664E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E050F7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8706AE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929C7EA">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val="en-US" w:eastAsia="zh-CN"/>
        </w:rPr>
        <w:t>重202607007 基于深度学习CCTA扫描下冠周脂肪特征、相关血流动力学参数与高危斑块的相关性研究</w:t>
      </w:r>
    </w:p>
    <w:p w14:paraId="6A57241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BC991E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 xml:space="preserve">计算机断层扫描成像 </w:t>
      </w:r>
    </w:p>
    <w:p w14:paraId="5478746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二、主要研发内容：</w:t>
      </w:r>
    </w:p>
    <w:p w14:paraId="228F411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以“深度学习重建冠状动脉 CT 血管成像（CCTA）”为技术核心，聚焦高血压合并冠心病高危人群，开展冠周脂肪组织（PCAT）定量参数、CT 血流储备分数（CT-FFR）与冠脉高危斑块（HRP）的相关性研究，旨在建立无创、精准、可推广的冠脉高危斑块评估体系</w:t>
      </w:r>
      <w:r>
        <w:rPr>
          <w:rFonts w:hint="eastAsia" w:ascii="仿宋_GB2312" w:hAnsi="仿宋_GB2312" w:eastAsia="仿宋_GB2312" w:cs="仿宋_GB2312"/>
          <w:sz w:val="32"/>
          <w:szCs w:val="32"/>
          <w:lang w:eastAsia="zh-CN"/>
        </w:rPr>
        <w:t>；</w:t>
      </w:r>
    </w:p>
    <w:p w14:paraId="0A99931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标准化研究与金标准体系搭建：采用回顾性诊断准确性研究设计，参照CAD-RADS 2.0标准界定HRP，建立双人独立盲法判读+资深医师仲裁的质控机制，确保研究结果客观可重复</w:t>
      </w:r>
      <w:r>
        <w:rPr>
          <w:rFonts w:hint="eastAsia" w:ascii="仿宋_GB2312" w:hAnsi="仿宋_GB2312" w:eastAsia="仿宋_GB2312" w:cs="仿宋_GB2312"/>
          <w:sz w:val="32"/>
          <w:szCs w:val="32"/>
          <w:lang w:eastAsia="zh-CN"/>
        </w:rPr>
        <w:t>；</w:t>
      </w:r>
    </w:p>
    <w:p w14:paraId="40ABCAB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规范化临床样本构建：严格按入排标准连续纳入目标患者，采集完善的临床基线数据用于混杂校正，结合统计学要求科学设定150–200例样本量，保障研究科学性</w:t>
      </w:r>
      <w:r>
        <w:rPr>
          <w:rFonts w:hint="eastAsia" w:ascii="仿宋_GB2312" w:hAnsi="仿宋_GB2312" w:eastAsia="仿宋_GB2312" w:cs="仿宋_GB2312"/>
          <w:sz w:val="32"/>
          <w:szCs w:val="32"/>
          <w:lang w:eastAsia="zh-CN"/>
        </w:rPr>
        <w:t>；</w:t>
      </w:r>
    </w:p>
    <w:p w14:paraId="198BC82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多维度影像参数定量检测：标准化完成冠周脂肪定量参数（FAI、PCAT体积）、深度学习CT-FFR功能学参数、冠脉狭窄结构参数的盲法测量，并验证测量一致性</w:t>
      </w:r>
      <w:r>
        <w:rPr>
          <w:rFonts w:hint="eastAsia" w:ascii="仿宋_GB2312" w:hAnsi="仿宋_GB2312" w:eastAsia="仿宋_GB2312" w:cs="仿宋_GB2312"/>
          <w:sz w:val="32"/>
          <w:szCs w:val="32"/>
          <w:lang w:eastAsia="zh-CN"/>
        </w:rPr>
        <w:t>；</w:t>
      </w:r>
    </w:p>
    <w:p w14:paraId="2289A66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独立预测因子筛选：通过单因素ROC分析评估各影像指标诊断效能，结合多变量Logistic回归校正混杂因素，筛选HRP独立影像预测指标。</w:t>
      </w:r>
    </w:p>
    <w:p w14:paraId="15C1A66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创新诊断模型研发与验证：分别构建脂肪参数模型、结构功能模型及多参数联合模型，通过效能对比与DeLong检验，筛选最优的HRP无创诊断模型。</w:t>
      </w:r>
    </w:p>
    <w:p w14:paraId="3B4C447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64F7EDB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150例高血压合并冠心病患者病例纳入</w:t>
      </w:r>
      <w:r>
        <w:rPr>
          <w:rFonts w:hint="eastAsia" w:ascii="仿宋_GB2312" w:hAnsi="仿宋_GB2312" w:eastAsia="仿宋_GB2312" w:cs="仿宋_GB2312"/>
          <w:sz w:val="32"/>
          <w:szCs w:val="32"/>
          <w:lang w:eastAsia="zh-CN"/>
        </w:rPr>
        <w:t>；</w:t>
      </w:r>
    </w:p>
    <w:p w14:paraId="5BEA6E0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建成数据完整、质控合格、可溯源的结构化CCTA研究数据库，无明显数据缺失、伪影超标及病例纳入错误，满足后续影像测量与统计建模标准</w:t>
      </w:r>
      <w:r>
        <w:rPr>
          <w:rFonts w:hint="eastAsia" w:ascii="仿宋_GB2312" w:hAnsi="仿宋_GB2312" w:eastAsia="仿宋_GB2312" w:cs="仿宋_GB2312"/>
          <w:sz w:val="32"/>
          <w:szCs w:val="32"/>
          <w:lang w:eastAsia="zh-CN"/>
        </w:rPr>
        <w:t>；</w:t>
      </w:r>
    </w:p>
    <w:p w14:paraId="11210E2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建立标准化PCAT半自动分割、CT-FFR分析、冠脉狭窄评估及HRP判读流程；完成全部入组病例FAI、PCAT体积、CT-FFR值、冠脉狭窄程度及CAD-RADS分级量化检测</w:t>
      </w:r>
      <w:r>
        <w:rPr>
          <w:rFonts w:hint="eastAsia" w:ascii="仿宋_GB2312" w:hAnsi="仿宋_GB2312" w:eastAsia="仿宋_GB2312" w:cs="仿宋_GB2312"/>
          <w:sz w:val="32"/>
          <w:szCs w:val="32"/>
          <w:lang w:eastAsia="zh-CN"/>
        </w:rPr>
        <w:t>；</w:t>
      </w:r>
    </w:p>
    <w:p w14:paraId="2A10AAA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构建PCAT参数模型、冠脉功能模型、多参数联合诊断模型；通过ROC曲线及DeLong检验完成各模型诊断效能对比，明确最优HRP无创诊断模型</w:t>
      </w:r>
      <w:r>
        <w:rPr>
          <w:rFonts w:hint="eastAsia" w:ascii="仿宋_GB2312" w:hAnsi="仿宋_GB2312" w:eastAsia="仿宋_GB2312" w:cs="仿宋_GB2312"/>
          <w:sz w:val="32"/>
          <w:szCs w:val="32"/>
          <w:lang w:eastAsia="zh-CN"/>
        </w:rPr>
        <w:t>；</w:t>
      </w:r>
    </w:p>
    <w:p w14:paraId="70E1086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发表相关论文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1篇或申请专利或软件著作权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r>
        <w:rPr>
          <w:rFonts w:hint="eastAsia" w:ascii="仿宋_GB2312" w:hAnsi="仿宋_GB2312" w:eastAsia="仿宋_GB2312" w:cs="仿宋_GB2312"/>
          <w:sz w:val="32"/>
          <w:szCs w:val="32"/>
          <w:lang w:eastAsia="zh-CN"/>
        </w:rPr>
        <w:t>；</w:t>
      </w:r>
    </w:p>
    <w:p w14:paraId="3055B9A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项目执行期间参加年度成果交流会</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w:t>
      </w:r>
    </w:p>
    <w:p w14:paraId="3A9BF1D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 xml:space="preserve">2年 </w:t>
      </w:r>
    </w:p>
    <w:p w14:paraId="11F10CA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不超过30万元</w:t>
      </w:r>
    </w:p>
    <w:p w14:paraId="7D55E78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097DAE0">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9B8BA7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p>
    <w:p w14:paraId="0F244BE9">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bCs/>
          <w:sz w:val="32"/>
          <w:szCs w:val="32"/>
        </w:rPr>
      </w:pPr>
    </w:p>
    <w:p w14:paraId="13D9FE17">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bCs/>
          <w:sz w:val="32"/>
          <w:szCs w:val="32"/>
        </w:rPr>
      </w:pPr>
    </w:p>
    <w:p w14:paraId="3D6981AB">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bCs/>
          <w:sz w:val="32"/>
          <w:szCs w:val="32"/>
        </w:rPr>
      </w:pPr>
    </w:p>
    <w:p w14:paraId="7FADE640">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
          <w:bCs w:val="0"/>
          <w:sz w:val="32"/>
          <w:szCs w:val="32"/>
        </w:rPr>
        <w:t>多中心项目</w:t>
      </w:r>
      <w:r>
        <w:rPr>
          <w:rFonts w:hint="eastAsia" w:ascii="仿宋_GB2312" w:hAnsi="仿宋_GB2312" w:eastAsia="仿宋_GB2312" w:cs="仿宋_GB2312"/>
          <w:bCs/>
          <w:sz w:val="32"/>
          <w:szCs w:val="32"/>
        </w:rPr>
        <w:t>】</w:t>
      </w:r>
    </w:p>
    <w:p w14:paraId="1B489273">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面202607008 基于高分辨微血流成像（uMFI）的多模态超声构建子宫内膜肿瘤风险预测模型的研究</w:t>
      </w:r>
    </w:p>
    <w:p w14:paraId="6866ADD0">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287FEC6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超声医学</w:t>
      </w:r>
    </w:p>
    <w:p w14:paraId="705CF32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主要研发内容</w:t>
      </w:r>
    </w:p>
    <w:p w14:paraId="5577676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500例受试者的多模态超声资料，通过深度学习方法筛选受试资料并建立子宫内膜病变预测模型，试图构建早期子宫内膜癌多模态超声风险预警模型；</w:t>
      </w:r>
    </w:p>
    <w:p w14:paraId="2C65B38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（二）探索总结不同类型子宫内膜病变（包括息肉、增生及子宫内膜癌等）高分辨血流成像（uMFI）特征，基于核心特征优化评估体系，筛选具备鉴别诊断能力的核心定量分析指标；</w:t>
      </w:r>
    </w:p>
    <w:p w14:paraId="396C9EE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（三）完成模型验证，包括内部验证及外部验证，通过ROC等量化指标科学客观评价模型的应用价值。</w:t>
      </w:r>
    </w:p>
    <w:p w14:paraId="1A35DE1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项目考核指标（项目执行期内）</w:t>
      </w:r>
    </w:p>
    <w:p w14:paraId="7CD86C6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500例不同类型子宫内膜病变多模态超声数据的采集，建立子宫内膜病变的多模态超声数据库</w:t>
      </w:r>
      <w:r>
        <w:rPr>
          <w:rFonts w:hint="eastAsia" w:ascii="仿宋_GB2312" w:hAnsi="仿宋_GB2312" w:eastAsia="仿宋_GB2312" w:cs="仿宋_GB2312"/>
          <w:sz w:val="32"/>
          <w:szCs w:val="32"/>
          <w:lang w:eastAsia="zh-CN"/>
        </w:rPr>
        <w:t>；</w:t>
      </w:r>
    </w:p>
    <w:p w14:paraId="05CE37B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完成模型构建，筛选具备鉴别诊断能力的核心定量分析指标</w:t>
      </w:r>
      <w:r>
        <w:rPr>
          <w:rFonts w:hint="eastAsia" w:ascii="仿宋_GB2312" w:hAnsi="仿宋_GB2312" w:eastAsia="仿宋_GB2312" w:cs="仿宋_GB2312"/>
          <w:sz w:val="32"/>
          <w:szCs w:val="32"/>
          <w:lang w:eastAsia="zh-CN"/>
        </w:rPr>
        <w:t>2～3个</w:t>
      </w:r>
      <w:r>
        <w:rPr>
          <w:rFonts w:hint="eastAsia" w:ascii="仿宋_GB2312" w:hAnsi="仿宋_GB2312" w:eastAsia="仿宋_GB2312" w:cs="仿宋_GB2312"/>
          <w:sz w:val="32"/>
          <w:szCs w:val="32"/>
        </w:rPr>
        <w:t>，提交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份系统性研究报告</w:t>
      </w:r>
      <w:r>
        <w:rPr>
          <w:rFonts w:hint="eastAsia" w:ascii="仿宋_GB2312" w:hAnsi="仿宋_GB2312" w:eastAsia="仿宋_GB2312" w:cs="仿宋_GB2312"/>
          <w:sz w:val="32"/>
          <w:szCs w:val="32"/>
          <w:lang w:eastAsia="zh-CN"/>
        </w:rPr>
        <w:t>；</w:t>
      </w:r>
    </w:p>
    <w:p w14:paraId="23D732A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发表与课题相关的高质量研究论文≥1篇或申请专利≥1项</w:t>
      </w:r>
      <w:r>
        <w:rPr>
          <w:rFonts w:hint="eastAsia" w:ascii="仿宋_GB2312" w:hAnsi="仿宋_GB2312" w:eastAsia="仿宋_GB2312" w:cs="仿宋_GB2312"/>
          <w:sz w:val="32"/>
          <w:szCs w:val="32"/>
          <w:lang w:eastAsia="zh-CN"/>
        </w:rPr>
        <w:t>；</w:t>
      </w:r>
    </w:p>
    <w:p w14:paraId="0F81AC1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项目执行期间参加年度成果交流会</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w:t>
      </w:r>
    </w:p>
    <w:p w14:paraId="5BCF1FA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项目实施年限：</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2年</w:t>
      </w:r>
    </w:p>
    <w:p w14:paraId="3900E4F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资助金额：</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15万元（仅为牵头单位经费，不包含分中心单位）</w:t>
      </w:r>
    </w:p>
    <w:p w14:paraId="52B92CF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513DE1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BC7E9A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B9482B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EDF09D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FE814C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C9094C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0651C30">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383C89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12E7764">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D049E8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87631E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5F9AAF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9E5DCC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1924E9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BCC2D9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E89E4A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52754C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F89E66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B4AC71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1E8201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C5D416F">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val="en-US" w:eastAsia="zh-CN"/>
        </w:rPr>
        <w:t>重202607009 基于5T磁共振的神经胞体和神经突密度成像研究</w:t>
      </w:r>
    </w:p>
    <w:p w14:paraId="26FBD16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009331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磁共振成像</w:t>
      </w:r>
    </w:p>
    <w:p w14:paraId="4BB6B1A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bookmarkStart w:id="4" w:name="OLE_LINK55"/>
      <w:r>
        <w:rPr>
          <w:rFonts w:hint="eastAsia" w:ascii="仿宋_GB2312" w:hAnsi="仿宋_GB2312" w:eastAsia="仿宋_GB2312" w:cs="仿宋_GB2312"/>
          <w:b/>
          <w:bCs/>
          <w:sz w:val="32"/>
          <w:szCs w:val="32"/>
        </w:rPr>
        <w:t>二、主要研究内容</w:t>
      </w:r>
    </w:p>
    <w:bookmarkEnd w:id="4"/>
    <w:p w14:paraId="74BECCD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以多中心形式展开临床研究，依托5T超高场磁共振成像平台，优化并迭代神经胞体与神经突密度成像技术（SANDI），研发适配临床场景、稳定性强、可推广的神经微观结构定量成像新方法；</w:t>
      </w:r>
    </w:p>
    <w:p w14:paraId="2422EA4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以阿尔茨海默病（AD）、血管性认知障碍等典型神经退行性疾病为主要研究对象，构建3-4组标准化、前瞻性5T-SANDI神经影像数据库；</w:t>
      </w:r>
    </w:p>
    <w:p w14:paraId="631A191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于构建的超高场影像数据集，系统剖析不同类型神经退行性疾病进程中，脑内神经胞体密度、神经突密度的动态演变特征与差异化变化规律，挖掘疾病特异性影像标志物，构建基于神经微结构定量参数的神经退行性疾病早期诊断与筛查模型。</w:t>
      </w:r>
    </w:p>
    <w:p w14:paraId="07E375F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bookmarkStart w:id="5" w:name="OLE_LINK56"/>
      <w:r>
        <w:rPr>
          <w:rFonts w:hint="eastAsia" w:ascii="仿宋_GB2312" w:hAnsi="仿宋_GB2312" w:eastAsia="仿宋_GB2312" w:cs="仿宋_GB2312"/>
          <w:b/>
          <w:bCs/>
          <w:sz w:val="32"/>
          <w:szCs w:val="32"/>
        </w:rPr>
        <w:t>三、项目考核指标（项目执行期内）</w:t>
      </w:r>
    </w:p>
    <w:bookmarkEnd w:id="5"/>
    <w:p w14:paraId="775D738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1.参与该多中心研究的医院共同规范收集符合5T磁共振成像标准的脑部影像研究病例≥600例：</w:t>
      </w:r>
    </w:p>
    <w:p w14:paraId="11EBE0F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（1）所有病例具备完整的临床资料、认知量表等信息；</w:t>
      </w:r>
    </w:p>
    <w:p w14:paraId="1CB08F3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（2）所有影像数据为标准DICOM格式5T超高场磁共振原始数据，成像序列完整、图像质量达标。</w:t>
      </w:r>
    </w:p>
    <w:p w14:paraId="0ABCBBC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2.搭建稳定可靠的神经胞体、神经突密度定量成像分析模型；形成标准化5T磁共振神经微结构成像扫描方案与定量分析流程，为超高场磁共振在神经微观病变早期筛查、机制研究中的临床应用提供技术示范</w:t>
      </w:r>
      <w:r>
        <w:rPr>
          <w:rFonts w:hint="eastAsia" w:ascii="仿宋_GB2312" w:hAnsi="仿宋_GB2312" w:eastAsia="仿宋_GB2312" w:cs="仿宋_GB2312"/>
          <w:sz w:val="32"/>
          <w:szCs w:val="32"/>
          <w:lang w:eastAsia="zh-CN"/>
        </w:rPr>
        <w:t>；</w:t>
      </w:r>
    </w:p>
    <w:p w14:paraId="2EE89EB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3.发表相关高水平学术论文≥2篇，或申请发明专利、计算机软件著作权≥2项</w:t>
      </w:r>
      <w:r>
        <w:rPr>
          <w:rFonts w:hint="eastAsia" w:ascii="仿宋_GB2312" w:hAnsi="仿宋_GB2312" w:eastAsia="仿宋_GB2312" w:cs="仿宋_GB2312"/>
          <w:sz w:val="32"/>
          <w:szCs w:val="32"/>
          <w:lang w:eastAsia="zh-CN"/>
        </w:rPr>
        <w:t>；</w:t>
      </w:r>
    </w:p>
    <w:p w14:paraId="2327975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4.项目执行期间参加项目年度成果交流、学术研讨会议≥1次。</w:t>
      </w:r>
    </w:p>
    <w:p w14:paraId="7411270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bookmarkStart w:id="6" w:name="OLE_LINK57"/>
      <w:r>
        <w:rPr>
          <w:rFonts w:hint="eastAsia" w:ascii="仿宋_GB2312" w:hAnsi="仿宋_GB2312" w:eastAsia="仿宋_GB2312" w:cs="仿宋_GB2312"/>
          <w:b/>
          <w:bCs/>
          <w:sz w:val="32"/>
          <w:szCs w:val="32"/>
        </w:rPr>
        <w:t>四、项目实施年限：</w:t>
      </w:r>
      <w:bookmarkEnd w:id="6"/>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p>
    <w:p w14:paraId="2D319CA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不超过30万元（仅为牵头单位经费，不包含分中心单位）</w:t>
      </w:r>
    </w:p>
    <w:p w14:paraId="073672A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4AA81D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3CB6CE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B36926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BD749C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3CBEFC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327EE5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F76B990">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A00E47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5E3EA8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43929A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53C6D9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64BF3D0">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F7458C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DF1733F">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重202607010 基于5T磁共振定量成像新技术的2型糖尿病患者多器官损伤早期精准评估临床多中心研究</w:t>
      </w:r>
    </w:p>
    <w:p w14:paraId="32DDFF9D">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3755F6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磁共振成像</w:t>
      </w:r>
    </w:p>
    <w:p w14:paraId="0012016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6D20BAB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心、脑、肾微结构与微循环功能5T磁共振成像新技术的临床多中心可行性验证。</w:t>
      </w:r>
    </w:p>
    <w:p w14:paraId="566CCE6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入选至少3个分中心，每个分中心入组15名健康受试者，每名健康受试者均进行心、脑、肾5T磁共振成像研究，其中5名受试者一周内完成两次扫描，拟验证的成像技术至少包括：脑ASL灌注成像与血脑屏障完整性定量成像；心脏T1 mapping、T2 mapping和CINE一站式成像；肾脏T1 mapping和血流灌注一站式成像；</w:t>
      </w:r>
    </w:p>
    <w:p w14:paraId="3EBF3C0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验证不同分中心之间心、脑、肾5T磁共振成像的一致性和可重复性；</w:t>
      </w:r>
    </w:p>
    <w:p w14:paraId="29312E4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建立心、脑、肾微结构与微循环功能5T磁共振定量成像技术方案。</w:t>
      </w:r>
    </w:p>
    <w:p w14:paraId="4FC5AE3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基于5T超高场磁共振定量成像的2型糖尿病患者心、脑、肾早期损伤的多中心研究。</w:t>
      </w:r>
    </w:p>
    <w:p w14:paraId="33963FD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入选≥10个分中心，每个分中心入组≥50例2型糖尿病患者，每位患者均进行心、脑、肾5T磁共振定量成像，成像技术至少包括：脑ASL灌注成像与血脑屏障完整性定量成像；心脏T1 mapping、T2 mapping和CINE一站式成像；肾脏T1 mapping和血流灌注一站式成像；</w:t>
      </w:r>
    </w:p>
    <w:p w14:paraId="6C7EBFF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探究糖尿病患者心、脑、肾早期损伤的磁共振影像标志物及其表现规律；探究糖尿病患者心、脑、肾早期损伤的关联关系与交互作用</w:t>
      </w:r>
      <w:r>
        <w:rPr>
          <w:rFonts w:hint="eastAsia" w:ascii="仿宋_GB2312" w:hAnsi="仿宋_GB2312" w:eastAsia="仿宋_GB2312" w:cs="仿宋_GB2312"/>
          <w:sz w:val="32"/>
          <w:szCs w:val="32"/>
          <w:lang w:eastAsia="zh-CN"/>
        </w:rPr>
        <w:t>；</w:t>
      </w:r>
    </w:p>
    <w:p w14:paraId="3EAF415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3.研究开发心、脑、肾多器官磁共振定量成像的智能分析方法。</w:t>
      </w:r>
    </w:p>
    <w:p w14:paraId="6223A9E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三、项目考核指标（项目执行期内） </w:t>
      </w:r>
    </w:p>
    <w:p w14:paraId="538C521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1.建立心、脑、肾5T磁共振定量成像技术方案；</w:t>
      </w:r>
    </w:p>
    <w:p w14:paraId="16AB7EB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2.建立2型糖尿病患者心、脑、肾多器官损伤5T磁共振影像队列（</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500例）；</w:t>
      </w:r>
    </w:p>
    <w:p w14:paraId="0775F14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3.建立心、脑、肾多器官损伤磁共振影像智能分析方法； </w:t>
      </w:r>
    </w:p>
    <w:p w14:paraId="7BB689E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4.发表高水平学术论文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1篇，申请专利或软件著作权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p>
    <w:p w14:paraId="42319FF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5.项目执行期间参加年度成果交流会≥1次。</w:t>
      </w:r>
    </w:p>
    <w:p w14:paraId="6F4B8AC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sz w:val="32"/>
          <w:szCs w:val="32"/>
        </w:rPr>
        <w:t>不超过2年</w:t>
      </w:r>
    </w:p>
    <w:p w14:paraId="5FB6E7C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b w:val="0"/>
          <w:bCs w:val="0"/>
          <w:sz w:val="32"/>
          <w:szCs w:val="32"/>
          <w:lang w:val="en-US" w:eastAsia="zh-CN"/>
        </w:rPr>
        <w:t>不超过</w:t>
      </w:r>
      <w:r>
        <w:rPr>
          <w:rFonts w:hint="eastAsia" w:ascii="仿宋_GB2312" w:hAnsi="仿宋_GB2312" w:eastAsia="仿宋_GB2312" w:cs="仿宋_GB2312"/>
          <w:sz w:val="32"/>
          <w:szCs w:val="32"/>
        </w:rPr>
        <w:t>30万元（仅为牵头单位经费，不包含分中心单位）</w:t>
      </w:r>
    </w:p>
    <w:p w14:paraId="6DEC0E6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C6DC99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7E24BF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BB444D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FC46F0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69D251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69075F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2CDC780">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val="en-US" w:eastAsia="zh-CN"/>
        </w:rPr>
        <w:t>重202607011 基于AI智能加速技术的标准化高分辨快速MRI扫描方案实现直肠癌新辅助治疗效果的准确评价研究</w:t>
      </w:r>
    </w:p>
    <w:p w14:paraId="742D150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477CC3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sz w:val="32"/>
          <w:szCs w:val="32"/>
        </w:rPr>
        <w:t>磁共振成像</w:t>
      </w:r>
    </w:p>
    <w:p w14:paraId="1432C14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2524B04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以直肠癌术前MRI精准分期为切入点，牵头中心基于3.0T磁共振平台，整合AI智能加速技术，构建一套高分辨快速多序列联合标准化扫描流程，一站式完成解剖高分辨成像、T1 mapping定量与增强的图像采集，进一步提升直肠MRI检查效率、增加直肠MRI信息丰富度，形成标准化直肠 MRI 术前评估方案</w:t>
      </w:r>
      <w:r>
        <w:rPr>
          <w:rFonts w:hint="eastAsia" w:ascii="仿宋_GB2312" w:hAnsi="仿宋_GB2312" w:eastAsia="仿宋_GB2312" w:cs="仿宋_GB2312"/>
          <w:sz w:val="32"/>
          <w:szCs w:val="32"/>
          <w:lang w:eastAsia="zh-CN"/>
        </w:rPr>
        <w:t>；</w:t>
      </w:r>
    </w:p>
    <w:p w14:paraId="501C25B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梯度优化加速因子、FOV、矩阵、层厚、T1 反转时间等关键成像参数，筛选兼顾扫描效率、图像质量与定量稳定性的最优参数链；结合多医师盲法主观评分与客观定量指标完成验证，制定可多中心复用的直肠 MRI 操作规范并临床落地，同步建立标准化多参数影像数据库。</w:t>
      </w:r>
    </w:p>
    <w:p w14:paraId="34A1DC60">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三、项目考核指标（项目执行期内） </w:t>
      </w:r>
    </w:p>
    <w:p w14:paraId="0DA2A4D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1.参与该多中心研究的医院共同收集符合标准的直肠癌术前MRI病例≥30例：</w:t>
      </w:r>
    </w:p>
    <w:p w14:paraId="2691078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（1）所有病例配套完整临床病理资料、术前分期记录</w:t>
      </w:r>
      <w:r>
        <w:rPr>
          <w:rFonts w:hint="eastAsia" w:ascii="仿宋_GB2312" w:hAnsi="仿宋_GB2312" w:eastAsia="仿宋_GB2312" w:cs="仿宋_GB2312"/>
          <w:sz w:val="32"/>
          <w:szCs w:val="32"/>
          <w:lang w:eastAsia="zh-CN"/>
        </w:rPr>
        <w:t>；</w:t>
      </w:r>
    </w:p>
    <w:p w14:paraId="2486B02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（2）影像数据需有完整DICOM格式影像数据。</w:t>
      </w:r>
    </w:p>
    <w:p w14:paraId="536909B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2.发表相关论文≥1篇或申请专利/软件著作权≥1项</w:t>
      </w:r>
      <w:r>
        <w:rPr>
          <w:rFonts w:hint="eastAsia" w:ascii="仿宋_GB2312" w:hAnsi="仿宋_GB2312" w:eastAsia="仿宋_GB2312" w:cs="仿宋_GB2312"/>
          <w:sz w:val="32"/>
          <w:szCs w:val="32"/>
          <w:lang w:eastAsia="zh-CN"/>
        </w:rPr>
        <w:t>；</w:t>
      </w:r>
    </w:p>
    <w:p w14:paraId="7F03162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3.项目执行期间参加年度成果交流会≥1次。</w:t>
      </w:r>
    </w:p>
    <w:p w14:paraId="4481498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sz w:val="32"/>
          <w:szCs w:val="32"/>
        </w:rPr>
        <w:t>不超过2年</w:t>
      </w:r>
    </w:p>
    <w:p w14:paraId="66A2452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不超过30</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（仅为牵头单位经费，不包含分中心单位）</w:t>
      </w:r>
    </w:p>
    <w:p w14:paraId="1510F94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D270A7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63019F4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58752D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34C4E0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0D3CB2C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DE9088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26D64E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76B9C2A">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48B26A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C18ED2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563246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A4F3618">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415F32B">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44B5D3F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D701E8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2598D95">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CD5EC51">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157C257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53609EB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7E6C079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313746C6">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val="en-US" w:eastAsia="zh-CN"/>
        </w:rPr>
        <w:t>重202607012 基于人工智能多模态影像分析的慢性非特异性下腰痛相关穴位敏化与区域特征研究</w:t>
      </w:r>
    </w:p>
    <w:p w14:paraId="74E4DEE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14:paraId="2129E743">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领域：</w:t>
      </w:r>
      <w:r>
        <w:rPr>
          <w:rFonts w:hint="eastAsia" w:ascii="仿宋_GB2312" w:hAnsi="仿宋_GB2312" w:eastAsia="仿宋_GB2312" w:cs="仿宋_GB2312"/>
          <w:sz w:val="32"/>
          <w:szCs w:val="32"/>
        </w:rPr>
        <w:t>磁共振成像、计算机断层扫描成像</w:t>
      </w:r>
    </w:p>
    <w:p w14:paraId="69A643CC">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主要研发内容</w:t>
      </w:r>
    </w:p>
    <w:p w14:paraId="3BE2691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基于多模态影像与人工智能的慢性非特异性下腰痛腧穴敏化科学内涵研究。围绕慢性非特异性下腰痛腧穴敏化客观化机制不清、现代阐释体系不完善等关键科学问题，立足中医腧穴敏化理论核心内涵，融合多模态影像技术与人工智能深度学习方法，开展腧穴敏化的可视化与量化研究。通过系统比对慢性非特异性下腰痛患者敏化腧穴与健康人群常态腧穴的影像学</w:t>
      </w:r>
      <w:bookmarkStart w:id="7" w:name="_GoBack"/>
      <w:bookmarkEnd w:id="7"/>
      <w:r>
        <w:rPr>
          <w:rFonts w:hint="eastAsia" w:ascii="仿宋_GB2312" w:hAnsi="仿宋_GB2312" w:eastAsia="仿宋_GB2312" w:cs="仿宋_GB2312"/>
          <w:sz w:val="32"/>
          <w:szCs w:val="32"/>
          <w:lang w:val="zh-CN"/>
        </w:rPr>
        <w:t>整体特征差异，挖掘与疾病状态、腧穴敏化特性高度关联的影像标志物。探析多模态影像特征与腧穴敏化状态的内在对应关系，构建腧穴敏化的影像表征体系，从现代医学视角丰富和阐释慢性非特异性下腰痛腧穴敏化的科学本质，为腧穴敏化理论的现代化传承与客观化研究提供新的思路与理论支撑。</w:t>
      </w:r>
    </w:p>
    <w:p w14:paraId="59B38DD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zh-CN"/>
        </w:rPr>
        <w:t>）基于空间结构异质性的腧穴分区影像特征与敏化规律研究。在明确腧穴整体敏化影像学特征的基础上，进一步聚焦腧穴空间结构异质性特征，深化腧穴局部结构与功能敏化的关联性研究。依据腧穴解剖结构与功能分布特点，对靶腧穴进行中心区、边缘区的空间分区界定，系统探究慢性非特异性下腰痛患者不同腧穴亚区的影像组学与深度学习特征差异。揭示腧穴内部不同空间区域的结构、功能影像特征分布规律，阐明腧穴空间结构特异性与敏化效应的内在关联，解析腧穴“结构差异—功能敏化”的对应机制，完善腧穴空间结构功能理论体系，为临床精准取穴、优化针灸干预方案提供理论支撑与科学依据。</w:t>
      </w:r>
    </w:p>
    <w:p w14:paraId="03DD89D2">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462F8A1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参与该多中心研究的医院共同收集符合要求的慢性非特异性下腰痛病例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400例，统一开展标准化影像数据与临床数据采集工作，具体要求如下：</w:t>
      </w:r>
    </w:p>
    <w:p w14:paraId="4714856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影像采集要求：所有入组病例均完成标准化腰椎能谱CT及腰椎功能磁共振成像检查，扫描范围覆盖目标腰椎节段，图像成像完整、解剖结构显示清晰。</w:t>
      </w:r>
    </w:p>
    <w:p w14:paraId="5949B52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数据标准化采集规范：</w:t>
      </w:r>
    </w:p>
    <w:p w14:paraId="1B71E98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①影像数据规范：所有原始影像数据均采用医疗通用DICOM格式完整留存，数据原始性、完整性可溯源，不得随意删减、修改原始成像数据；</w:t>
      </w:r>
    </w:p>
    <w:p w14:paraId="57DD909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②影像质量控制：建立多中心统一影像质控标准，所有影像资料经高级职称影像医师统一审核评估，确保图像质量稳定、一致，完全满足后续数据分析要求；</w:t>
      </w:r>
    </w:p>
    <w:p w14:paraId="0EA021C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③临床数据采集：配套建立规范化临床病例数据库，统一采集入组受试者基线人口学资料、病史信息、临床诊疗相关核心数据；采用行业通用、公认的腰背功能及疼痛评估量表开展病情评价；</w:t>
      </w:r>
    </w:p>
    <w:p w14:paraId="6371E2F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④多中心数据管理：建立统一的数据采集、双人录入、交叉复核、归档留存机制，规范多中心数据同质化管理，保障多中心数据标准统一、真实可靠、可追溯、可复盘，满足科研核查及后续成果转化应用要求。</w:t>
      </w:r>
    </w:p>
    <w:p w14:paraId="3CA2047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构建基于多模态影像与人工智能的慢性非特异性下腰痛腧穴敏化特征分析体系，形成关于慢性非特异性下腰痛腧穴敏化科学内涵的研究报告，形成关于慢性非特异性下腰痛靶腧穴内部空间结构特异性与敏化规律的研究报告</w:t>
      </w:r>
      <w:r>
        <w:rPr>
          <w:rFonts w:hint="eastAsia" w:ascii="仿宋_GB2312" w:hAnsi="仿宋_GB2312" w:eastAsia="仿宋_GB2312" w:cs="仿宋_GB2312"/>
          <w:sz w:val="32"/>
          <w:szCs w:val="32"/>
          <w:lang w:eastAsia="zh-CN"/>
        </w:rPr>
        <w:t>；</w:t>
      </w:r>
    </w:p>
    <w:p w14:paraId="12DDE5B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发表相关论文</w:t>
      </w:r>
      <w:r>
        <w:rPr>
          <w:rFonts w:hint="eastAsia" w:ascii="仿宋_GB2312" w:hAnsi="仿宋_GB2312" w:eastAsia="仿宋_GB2312" w:cs="仿宋_GB2312"/>
          <w:sz w:val="32"/>
          <w:szCs w:val="32"/>
          <w:lang w:val="en-US" w:eastAsia="zh-CN"/>
        </w:rPr>
        <w:t>≥1篇</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rPr>
        <w:t>专利</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1项</w:t>
      </w:r>
      <w:r>
        <w:rPr>
          <w:rFonts w:hint="eastAsia" w:ascii="仿宋_GB2312" w:hAnsi="仿宋_GB2312" w:eastAsia="仿宋_GB2312" w:cs="仿宋_GB2312"/>
          <w:sz w:val="32"/>
          <w:szCs w:val="32"/>
          <w:lang w:eastAsia="zh-CN"/>
        </w:rPr>
        <w:t>；</w:t>
      </w:r>
    </w:p>
    <w:p w14:paraId="6435062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项目执行期内至少参加年度成果交流会</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w:t>
      </w:r>
    </w:p>
    <w:p w14:paraId="7819628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四、项目实施年限：</w:t>
      </w:r>
      <w:r>
        <w:rPr>
          <w:rFonts w:hint="eastAsia" w:ascii="仿宋_GB2312" w:hAnsi="仿宋_GB2312" w:eastAsia="仿宋_GB2312" w:cs="仿宋_GB2312"/>
          <w:sz w:val="32"/>
          <w:szCs w:val="32"/>
        </w:rPr>
        <w:t>3年</w:t>
      </w:r>
    </w:p>
    <w:p w14:paraId="7C8DB38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五、资助金额：</w:t>
      </w:r>
      <w:r>
        <w:rPr>
          <w:rFonts w:hint="eastAsia" w:ascii="仿宋_GB2312" w:hAnsi="仿宋_GB2312" w:eastAsia="仿宋_GB2312" w:cs="仿宋_GB2312"/>
          <w:sz w:val="32"/>
          <w:szCs w:val="32"/>
        </w:rPr>
        <w:t>不超过50万元（仅为牵头单位经费，不包含分中心单位）</w:t>
      </w:r>
    </w:p>
    <w:p w14:paraId="5B56473D">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24A4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22D2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322D2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330345"/>
    <w:rsid w:val="35A87AF3"/>
    <w:rsid w:val="5E694F34"/>
    <w:rsid w:val="7CC03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paragraph" w:styleId="2">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iPriority w:val="0"/>
  </w:style>
  <w:style w:type="character" w:styleId="8">
    <w:name w:val="Strong"/>
    <w:basedOn w:val="7"/>
    <w:qFormat/>
    <w:uiPriority w:val="22"/>
    <w:rPr>
      <w:b/>
      <w:bCs/>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05bc62-9605-4a6a-b9d7-823411d00964}">
  <ds:schemaRefs/>
</ds:datastoreItem>
</file>

<file path=docProps/app.xml><?xml version="1.0" encoding="utf-8"?>
<Properties xmlns="http://schemas.openxmlformats.org/officeDocument/2006/extended-properties" xmlns:vt="http://schemas.openxmlformats.org/officeDocument/2006/docPropsVTypes">
  <Template>Normal.dotm</Template>
  <Pages>25</Pages>
  <Words>8322</Words>
  <Characters>8957</Characters>
  <Lines>0</Lines>
  <Paragraphs>0</Paragraphs>
  <TotalTime>4</TotalTime>
  <ScaleCrop>false</ScaleCrop>
  <LinksUpToDate>false</LinksUpToDate>
  <CharactersWithSpaces>9013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2026-07-13T11:43:00Z</dcterms:created>
  <dc:creator>Elfinsword</dc:creator>
  <cp:lastModifiedBy>Elfinsword、</cp:lastModifiedBy>
  <dcterms:modified xsi:type="dcterms:W3CDTF">2026-07-14T01:15:21Z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eyJoZGlkIjoiNDQzMzQwMmVhMDMxNmMxOTI4ZWZjYWVhYmU0ZjQyNDgiLCJ1c2VySWQiOiIzNTE1MjMxMzUifQ==</vt:lpwstr>
  </property>
  <property fmtid="{D5CDD505-2E9C-101B-9397-08002B2CF9AE}" pid="4" name="ICV">
    <vt:lpwstr>6B8F45AC26AA4211B1BAA5E8CE4861E0_12</vt:lpwstr>
  </property>
</Properties>
</file>