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95B8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20250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1 关于NIR-Ⅱ光诊疗技术在抑制乳腺癌转移中的研发与应用</w:t>
      </w:r>
    </w:p>
    <w:p w14:paraId="355BA311">
      <w:pPr>
        <w:ind w:firstLine="0" w:firstLineChars="0"/>
        <w:jc w:val="both"/>
        <w:rPr>
          <w:rFonts w:hint="eastAsia" w:ascii="方正小标宋简体" w:hAnsi="方正小标宋简体" w:eastAsia="方正小标宋简体"/>
          <w:color w:val="000000"/>
          <w:sz w:val="44"/>
        </w:rPr>
      </w:pPr>
    </w:p>
    <w:p w14:paraId="2FC07D46"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一、</w:t>
      </w:r>
      <w:r>
        <w:rPr>
          <w:rFonts w:hint="eastAsia" w:ascii="仿宋_GB2312" w:hAnsi="仿宋_GB2312" w:cs="仿宋_GB2312"/>
          <w:b/>
          <w:bCs/>
        </w:rPr>
        <w:t>领域：</w:t>
      </w:r>
      <w:r>
        <w:rPr>
          <w:rFonts w:hint="eastAsia" w:ascii="仿宋_GB2312" w:hAnsi="仿宋_GB2312" w:cs="仿宋_GB2312"/>
        </w:rPr>
        <w:t>乳腺癌精准诊疗研究</w:t>
      </w:r>
    </w:p>
    <w:p w14:paraId="0692C092">
      <w:pPr>
        <w:ind w:firstLine="640"/>
        <w:rPr>
          <w:rFonts w:hint="eastAsia" w:ascii="仿宋_GB2312" w:hAnsi="仿宋_GB2312" w:cs="仿宋_GB2312"/>
          <w:b/>
          <w:bCs/>
        </w:rPr>
      </w:pPr>
      <w:r>
        <w:rPr>
          <w:rFonts w:ascii="仿宋_GB2312" w:hAnsi="仿宋_GB2312" w:cs="仿宋_GB2312"/>
          <w:b/>
          <w:bCs/>
        </w:rPr>
        <w:t>二、</w:t>
      </w:r>
      <w:r>
        <w:rPr>
          <w:rFonts w:hint="eastAsia" w:ascii="仿宋_GB2312" w:hAnsi="仿宋_GB2312" w:cs="仿宋_GB2312"/>
          <w:b/>
          <w:bCs/>
        </w:rPr>
        <w:t>主要</w:t>
      </w:r>
      <w:r>
        <w:rPr>
          <w:rFonts w:hint="eastAsia" w:ascii="仿宋_GB2312" w:hAnsi="仿宋_GB2312" w:cs="仿宋_GB2312"/>
          <w:b/>
          <w:bCs/>
          <w:lang w:val="en-US" w:eastAsia="zh-CN"/>
        </w:rPr>
        <w:t>研究</w:t>
      </w:r>
      <w:r>
        <w:rPr>
          <w:rFonts w:hint="eastAsia" w:ascii="仿宋_GB2312" w:hAnsi="仿宋_GB2312" w:cs="仿宋_GB2312"/>
          <w:b/>
          <w:bCs/>
        </w:rPr>
        <w:t>内容：</w:t>
      </w:r>
      <w:bookmarkStart w:id="2" w:name="_GoBack"/>
      <w:bookmarkEnd w:id="2"/>
    </w:p>
    <w:p w14:paraId="46F26839"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（一）聚焦分子能级精准调控理论，突破传统NIR-Ⅱ分子合成步骤冗长、产率低的瓶颈，实现“一步法”或“一锅法”高效合成具有高摩尔消光系数或者光热转换效率的NIR-Ⅱ吸收有机光热分子；</w:t>
      </w:r>
    </w:p>
    <w:p w14:paraId="5C951B9C">
      <w:pPr>
        <w:ind w:firstLine="640"/>
      </w:pPr>
      <w:r>
        <w:rPr>
          <w:rFonts w:hint="eastAsia" w:ascii="仿宋_GB2312" w:hAnsi="仿宋_GB2312" w:cs="仿宋_GB2312"/>
        </w:rPr>
        <w:t>（二）通过多维成像技术，在动物模型中实现长期跨尺度的时空动态成像，</w:t>
      </w:r>
      <w:r>
        <w:rPr>
          <w:rFonts w:hint="eastAsia"/>
        </w:rPr>
        <w:t>以乳腺癌转移的关键过程为研究对象，开展多靶点协同干预新范式；</w:t>
      </w:r>
    </w:p>
    <w:p w14:paraId="5F5125C2"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（三）利用乳腺癌转移灶高表达受体，</w:t>
      </w:r>
      <w:r>
        <w:rPr>
          <w:rFonts w:ascii="仿宋_GB2312" w:hAnsi="仿宋_GB2312" w:cs="仿宋_GB2312"/>
        </w:rPr>
        <w:t>集成pH/酶/ROS多重敏感基团，</w:t>
      </w:r>
      <w:r>
        <w:rPr>
          <w:rFonts w:hint="eastAsia" w:ascii="仿宋_GB2312" w:hAnsi="仿宋_GB2312" w:cs="仿宋_GB2312"/>
        </w:rPr>
        <w:t>实现转移灶的超高信噪比成像与选择性精准消融；</w:t>
      </w:r>
    </w:p>
    <w:p w14:paraId="47226781">
      <w:pPr>
        <w:ind w:firstLine="640"/>
      </w:pPr>
      <w:r>
        <w:rPr>
          <w:rFonts w:hint="eastAsia"/>
        </w:rPr>
        <w:t>（四）靶向调控免疫抑制微环境的主要驱动因素，提高抗原呈递效率和免疫细胞的分化和浸润程度，重塑肿瘤免疫微环境；</w:t>
      </w:r>
    </w:p>
    <w:p w14:paraId="0DE9AC83">
      <w:pPr>
        <w:ind w:firstLine="640"/>
      </w:pPr>
      <w:r>
        <w:rPr>
          <w:rFonts w:hint="eastAsia"/>
        </w:rPr>
        <w:t>（五）构建</w:t>
      </w:r>
      <w:r>
        <w:rPr>
          <w:rFonts w:hint="eastAsia" w:ascii="仿宋_GB2312" w:hAnsi="仿宋_GB2312" w:cs="仿宋_GB2312"/>
        </w:rPr>
        <w:t>NIR-Ⅱ</w:t>
      </w:r>
      <w:r>
        <w:rPr>
          <w:rFonts w:hint="eastAsia"/>
        </w:rPr>
        <w:t>驱动的多模态级联治疗平台，克服单模态光疗受限于穿透深度的问题，联合其他治疗方式以增强</w:t>
      </w:r>
      <w:r>
        <w:rPr>
          <w:rFonts w:hint="eastAsia" w:ascii="仿宋_GB2312" w:hAnsi="仿宋_GB2312" w:cs="仿宋_GB2312"/>
        </w:rPr>
        <w:t>NIR-Ⅱ</w:t>
      </w:r>
      <w:r>
        <w:rPr>
          <w:rFonts w:hint="eastAsia"/>
        </w:rPr>
        <w:t>光疗效率。</w:t>
      </w:r>
    </w:p>
    <w:p w14:paraId="588BDF9A">
      <w:pPr>
        <w:ind w:firstLine="640"/>
        <w:rPr>
          <w:rFonts w:hint="eastAsia"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三、项目考核指标（项目执行期内）</w:t>
      </w:r>
    </w:p>
    <w:p w14:paraId="090DF1C3"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（一）学术指标：发表学术论文≥5篇，申请专利≥1项；</w:t>
      </w:r>
    </w:p>
    <w:p w14:paraId="77007F02"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（二）人才培养指标：培养博士研究生≥2人，培养硕士研究生≥4人；</w:t>
      </w:r>
    </w:p>
    <w:p w14:paraId="69156044"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（三）技术指标：</w:t>
      </w:r>
    </w:p>
    <w:p w14:paraId="604B8334">
      <w:pPr>
        <w:ind w:firstLine="640"/>
      </w:pPr>
      <w:r>
        <w:rPr>
          <w:rFonts w:hint="eastAsia" w:ascii="仿宋_GB2312" w:hAnsi="仿宋_GB2312" w:cs="仿宋_GB2312"/>
        </w:rPr>
        <w:t>1</w:t>
      </w:r>
      <w:r>
        <w:rPr>
          <w:rFonts w:ascii="仿宋_GB2312" w:hAnsi="仿宋_GB2312" w:cs="仿宋_GB2312"/>
        </w:rPr>
        <w:t>.</w:t>
      </w:r>
      <w:r>
        <w:rPr>
          <w:rFonts w:hint="eastAsia"/>
        </w:rPr>
        <w:t>成功制备不少于</w:t>
      </w:r>
      <w:r>
        <w:rPr>
          <w:rFonts w:hint="eastAsia" w:ascii="仿宋_GB2312" w:hAnsi="仿宋_GB2312" w:cs="仿宋_GB2312"/>
        </w:rPr>
        <w:t>2</w:t>
      </w:r>
      <w:r>
        <w:rPr>
          <w:rFonts w:hint="eastAsia"/>
        </w:rPr>
        <w:t>种在转移微环境中特异性激活的</w:t>
      </w:r>
      <w:r>
        <w:rPr>
          <w:rFonts w:hint="eastAsia" w:ascii="仿宋_GB2312" w:hAnsi="仿宋_GB2312" w:cs="仿宋_GB2312"/>
        </w:rPr>
        <w:t>NIR-Ⅱ</w:t>
      </w:r>
      <w:r>
        <w:rPr>
          <w:rFonts w:hint="eastAsia"/>
        </w:rPr>
        <w:t>探针。探针在模拟肿瘤转移灶微环境（如特定pH、酶浓度、</w:t>
      </w:r>
      <w:r>
        <w:rPr>
          <w:rFonts w:hint="eastAsia" w:ascii="仿宋_GB2312" w:hAnsi="仿宋_GB2312" w:cs="仿宋_GB2312"/>
        </w:rPr>
        <w:t>ROS</w:t>
      </w:r>
      <w:r>
        <w:rPr>
          <w:rFonts w:hint="eastAsia"/>
        </w:rPr>
        <w:t>水平）下，其信噪比（靶区/非靶区荧光强度比值）较激活前提升≥</w:t>
      </w:r>
      <w:r>
        <w:rPr>
          <w:rFonts w:hint="eastAsia" w:ascii="仿宋_GB2312" w:hAnsi="仿宋_GB2312" w:cs="仿宋_GB2312"/>
        </w:rPr>
        <w:t>10</w:t>
      </w:r>
      <w:r>
        <w:rPr>
          <w:rFonts w:hint="eastAsia"/>
        </w:rPr>
        <w:t>倍；</w:t>
      </w:r>
    </w:p>
    <w:p w14:paraId="27A54E71">
      <w:pPr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2. 构建</w:t>
      </w:r>
      <w:r>
        <w:rPr>
          <w:rFonts w:hint="eastAsia"/>
        </w:rPr>
        <w:t>不少于</w:t>
      </w:r>
      <w:r>
        <w:rPr>
          <w:rFonts w:hint="eastAsia" w:ascii="仿宋_GB2312" w:hAnsi="仿宋_GB2312" w:cs="仿宋_GB2312"/>
        </w:rPr>
        <w:t>2</w:t>
      </w:r>
      <w:r>
        <w:rPr>
          <w:rFonts w:hint="eastAsia"/>
        </w:rPr>
        <w:t>个</w:t>
      </w:r>
      <w:r>
        <w:rPr>
          <w:rFonts w:hint="eastAsia" w:ascii="仿宋_GB2312" w:hAnsi="仿宋_GB2312" w:cs="仿宋_GB2312"/>
        </w:rPr>
        <w:t>的集成光热治疗（PTT）、光动力治疗（PDT）及其他至少一种治疗方式（如化疗、免疫治疗等）的级联治疗平台。</w:t>
      </w:r>
      <w:r>
        <w:rPr>
          <w:rFonts w:hint="eastAsia"/>
        </w:rPr>
        <w:t>该平台应具备以下关键指标之一：</w:t>
      </w:r>
      <w:r>
        <w:rPr>
          <w:rFonts w:hint="eastAsia" w:ascii="仿宋_GB2312" w:hAnsi="仿宋_GB2312" w:cs="仿宋_GB2312"/>
        </w:rPr>
        <w:t>荧光量子产率≥1.0%，或光热转换效率</w:t>
      </w:r>
      <w:bookmarkStart w:id="0" w:name="_Hlk208270878"/>
      <w:r>
        <w:rPr>
          <w:rFonts w:hint="eastAsia" w:ascii="仿宋_GB2312" w:hAnsi="仿宋_GB2312" w:cs="仿宋_GB2312"/>
        </w:rPr>
        <w:t>≥50</w:t>
      </w:r>
      <w:bookmarkEnd w:id="0"/>
      <w:r>
        <w:rPr>
          <w:rFonts w:hint="eastAsia" w:ascii="仿宋_GB2312" w:hAnsi="仿宋_GB2312" w:cs="仿宋_GB2312"/>
        </w:rPr>
        <w:t>%，或活性氧产量≥100倍，形成≥1份性能评估报告；</w:t>
      </w:r>
    </w:p>
    <w:p w14:paraId="741B0A4F">
      <w:pPr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3.在动物模型中，实现对微小肿瘤转移灶（直径&lt;2mm）的精准成像与光热/光动力治疗，治疗组相较于对照组的转移灶消融率显著提高（p&lt;0.05），肺部转移灶降低50%以上，生存期提高一倍以上；</w:t>
      </w:r>
    </w:p>
    <w:p w14:paraId="1231CF86">
      <w:pPr>
        <w:ind w:firstLine="640"/>
        <w:rPr>
          <w:rFonts w:hint="eastAsia" w:ascii="仿宋_GB2312" w:hAnsi="仿宋_GB2312" w:cs="仿宋_GB2312"/>
        </w:rPr>
      </w:pPr>
      <w:r>
        <w:rPr>
          <w:rFonts w:ascii="仿宋_GB2312" w:hAnsi="仿宋_GB2312" w:cs="仿宋_GB2312"/>
        </w:rPr>
        <w:t>4.在动物模型中证实治疗策略对免疫微环境的重塑效果。量化指标包括：治疗后肿瘤组织内CD8</w:t>
      </w:r>
      <w:r>
        <w:rPr>
          <w:rFonts w:ascii="仿宋_GB2312" w:hAnsi="仿宋_GB2312" w:cs="仿宋_GB2312"/>
          <w:vertAlign w:val="superscript"/>
        </w:rPr>
        <w:t>+</w:t>
      </w:r>
      <w:r>
        <w:rPr>
          <w:rFonts w:ascii="仿宋_GB2312" w:hAnsi="仿宋_GB2312" w:cs="仿宋_GB2312"/>
        </w:rPr>
        <w:t xml:space="preserve"> T细胞和树突细胞（DC</w:t>
      </w:r>
      <w:r>
        <w:rPr>
          <w:rFonts w:hint="eastAsia" w:ascii="仿宋_GB2312" w:hAnsi="仿宋_GB2312" w:cs="仿宋_GB2312"/>
        </w:rPr>
        <w:t>s</w:t>
      </w:r>
      <w:r>
        <w:rPr>
          <w:rFonts w:ascii="仿宋_GB2312" w:hAnsi="仿宋_GB2312" w:cs="仿宋_GB2312"/>
        </w:rPr>
        <w:t>）的浸润密度提高≥2倍；关键免疫抑制因子（如TGF-β, IL-10）的表达水平显著下降（p&lt;0.05）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ascii="仿宋_GB2312" w:hAnsi="仿宋_GB2312" w:cs="仿宋_GB2312"/>
        </w:rPr>
        <w:t xml:space="preserve"> 关键</w:t>
      </w:r>
      <w:r>
        <w:rPr>
          <w:rFonts w:hint="eastAsia" w:ascii="仿宋_GB2312" w:hAnsi="仿宋_GB2312" w:cs="仿宋_GB2312"/>
        </w:rPr>
        <w:t>促炎</w:t>
      </w:r>
      <w:r>
        <w:rPr>
          <w:rFonts w:ascii="仿宋_GB2312" w:hAnsi="仿宋_GB2312" w:cs="仿宋_GB2312"/>
        </w:rPr>
        <w:t>因子（如T</w:t>
      </w:r>
      <w:r>
        <w:rPr>
          <w:rFonts w:hint="eastAsia" w:ascii="仿宋_GB2312" w:hAnsi="仿宋_GB2312" w:cs="仿宋_GB2312"/>
        </w:rPr>
        <w:t>NF-α</w:t>
      </w:r>
      <w:r>
        <w:rPr>
          <w:rFonts w:ascii="仿宋_GB2312" w:hAnsi="仿宋_GB2312" w:cs="仿宋_GB2312"/>
        </w:rPr>
        <w:t>, I</w:t>
      </w:r>
      <w:r>
        <w:rPr>
          <w:rFonts w:hint="eastAsia" w:ascii="仿宋_GB2312" w:hAnsi="仿宋_GB2312" w:cs="仿宋_GB2312"/>
        </w:rPr>
        <w:t>FN-γ</w:t>
      </w:r>
      <w:r>
        <w:rPr>
          <w:rFonts w:ascii="仿宋_GB2312" w:hAnsi="仿宋_GB2312" w:cs="仿宋_GB2312"/>
        </w:rPr>
        <w:t>）的表达水平显著</w:t>
      </w:r>
      <w:r>
        <w:rPr>
          <w:rFonts w:hint="eastAsia" w:ascii="仿宋_GB2312" w:hAnsi="仿宋_GB2312" w:cs="仿宋_GB2312"/>
        </w:rPr>
        <w:t>上升</w:t>
      </w:r>
      <w:r>
        <w:rPr>
          <w:rFonts w:ascii="仿宋_GB2312" w:hAnsi="仿宋_GB2312" w:cs="仿宋_GB2312"/>
        </w:rPr>
        <w:t>（p&lt;0.05）；</w:t>
      </w:r>
      <w:r>
        <w:rPr>
          <w:rFonts w:hint="eastAsia" w:ascii="仿宋_GB2312" w:hAnsi="仿宋_GB2312" w:cs="仿宋_GB2312"/>
        </w:rPr>
        <w:t xml:space="preserve"> </w:t>
      </w:r>
    </w:p>
    <w:p w14:paraId="462245A9">
      <w:pPr>
        <w:ind w:firstLine="640"/>
      </w:pPr>
      <w:r>
        <w:rPr>
          <w:rFonts w:hint="eastAsia" w:ascii="仿宋_GB2312" w:hAnsi="仿宋_GB2312" w:cs="仿宋_GB2312"/>
        </w:rPr>
        <w:t>5</w:t>
      </w:r>
      <w:r>
        <w:rPr>
          <w:rFonts w:hint="eastAsia"/>
        </w:rPr>
        <w:t>.基于所研发</w:t>
      </w:r>
      <w:r>
        <w:rPr>
          <w:rFonts w:hint="eastAsia" w:ascii="仿宋_GB2312" w:hAnsi="仿宋_GB2312" w:cs="仿宋_GB2312"/>
        </w:rPr>
        <w:t>NIR-Ⅱ</w:t>
      </w:r>
      <w:r>
        <w:rPr>
          <w:rFonts w:hint="eastAsia"/>
        </w:rPr>
        <w:t>光诊疗分子及相应诊疗平台在乳腺癌转移模型中的性能表现，完成</w:t>
      </w:r>
      <w:r>
        <w:rPr>
          <w:rFonts w:hint="eastAsia"/>
          <w:lang w:val="en-US" w:eastAsia="zh-CN"/>
        </w:rPr>
        <w:t>≥1</w:t>
      </w:r>
      <w:r>
        <w:rPr>
          <w:rFonts w:hint="eastAsia"/>
        </w:rPr>
        <w:t>份完整的临床前研究数据集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结题报告，核心指标包括：</w:t>
      </w:r>
    </w:p>
    <w:p w14:paraId="660D93EE">
      <w:pPr>
        <w:ind w:firstLine="640"/>
      </w:pPr>
      <w:r>
        <w:rPr>
          <w:rFonts w:hint="eastAsia" w:ascii="仿宋_GB2312" w:hAnsi="仿宋_GB2312" w:cs="仿宋_GB2312"/>
        </w:rPr>
        <w:t>①</w:t>
      </w:r>
      <w:r>
        <w:rPr>
          <w:rFonts w:hint="eastAsia"/>
        </w:rPr>
        <w:t>诊断有效性：利用NIR-Ⅱ成像技术，在动物模型或离体组织中对微小转移灶（直径&lt;</w:t>
      </w:r>
      <w:r>
        <w:rPr>
          <w:rFonts w:hint="eastAsia" w:ascii="仿宋_GB2312" w:hAnsi="仿宋_GB2312" w:cs="仿宋_GB2312"/>
        </w:rPr>
        <w:t>3</w:t>
      </w:r>
      <w:r>
        <w:rPr>
          <w:rFonts w:hint="eastAsia"/>
        </w:rPr>
        <w:t xml:space="preserve"> </w:t>
      </w:r>
      <w:r>
        <w:rPr>
          <w:rFonts w:hint="eastAsia" w:ascii="仿宋_GB2312" w:hAnsi="仿宋_GB2312" w:cs="仿宋_GB2312"/>
        </w:rPr>
        <w:t>mm</w:t>
      </w:r>
      <w:r>
        <w:rPr>
          <w:rFonts w:hint="eastAsia"/>
        </w:rPr>
        <w:t>）的检出率和精准定位准确率。</w:t>
      </w:r>
    </w:p>
    <w:p w14:paraId="06766CFF">
      <w:pPr>
        <w:ind w:firstLine="640"/>
      </w:pPr>
      <w:r>
        <w:rPr>
          <w:rFonts w:hint="eastAsia" w:ascii="仿宋_GB2312" w:hAnsi="仿宋_GB2312" w:cs="仿宋_GB2312"/>
        </w:rPr>
        <w:t>②</w:t>
      </w:r>
      <w:r>
        <w:rPr>
          <w:rFonts w:hint="eastAsia"/>
        </w:rPr>
        <w:t>治疗有效性：在转移瘤模型中，联合治疗组实现完全缓解的动物比例，不同处理组中小鼠远期（如</w:t>
      </w:r>
      <w:r>
        <w:rPr>
          <w:rFonts w:hint="eastAsia" w:ascii="仿宋_GB2312" w:hAnsi="仿宋_GB2312" w:cs="仿宋_GB2312"/>
        </w:rPr>
        <w:t>60</w:t>
      </w:r>
      <w:r>
        <w:rPr>
          <w:rFonts w:hint="eastAsia"/>
        </w:rPr>
        <w:t>天）转移的复发率以及</w:t>
      </w:r>
      <w:r>
        <w:rPr>
          <w:rFonts w:hint="eastAsia" w:ascii="仿宋_GB2312" w:hAnsi="仿宋_GB2312" w:cs="仿宋_GB2312"/>
        </w:rPr>
        <w:t>90</w:t>
      </w:r>
      <w:r>
        <w:rPr>
          <w:rFonts w:hint="eastAsia"/>
        </w:rPr>
        <w:t>天内的生存率变化。</w:t>
      </w:r>
    </w:p>
    <w:p w14:paraId="093DDA81">
      <w:pPr>
        <w:ind w:firstLine="640"/>
        <w:rPr>
          <w:rFonts w:hint="eastAsia"/>
        </w:rPr>
      </w:pPr>
      <w:r>
        <w:rPr>
          <w:rFonts w:hint="eastAsia" w:ascii="仿宋_GB2312" w:hAnsi="仿宋_GB2312" w:cs="仿宋_GB2312"/>
        </w:rPr>
        <w:t>③</w:t>
      </w:r>
      <w:r>
        <w:rPr>
          <w:rFonts w:hint="eastAsia"/>
        </w:rPr>
        <w:t>药代动力学与</w:t>
      </w:r>
      <w:r>
        <w:rPr>
          <w:rFonts w:hint="eastAsia" w:ascii="仿宋_GB2312" w:hAnsi="仿宋_GB2312" w:cs="仿宋_GB2312"/>
        </w:rPr>
        <w:t>安全性</w:t>
      </w:r>
      <w:r>
        <w:rPr>
          <w:rFonts w:hint="eastAsia"/>
        </w:rPr>
        <w:t>：明确</w:t>
      </w:r>
      <w:bookmarkStart w:id="1" w:name="OLE_LINK1"/>
      <w:r>
        <w:rPr>
          <w:rFonts w:hint="eastAsia"/>
        </w:rPr>
        <w:t>探针在血液中的半衰期</w:t>
      </w:r>
      <w:bookmarkEnd w:id="1"/>
      <w:r>
        <w:rPr>
          <w:rFonts w:hint="eastAsia"/>
        </w:rPr>
        <w:t>等药代动力学参数，明确探针的代谢器官和组织代谢周期，并通过血液生化分析和组织切片证实无显著系统毒性。</w:t>
      </w:r>
    </w:p>
    <w:p w14:paraId="6CEBFE07">
      <w:pPr>
        <w:ind w:firstLine="640"/>
        <w:rPr>
          <w:rFonts w:hint="eastAsia"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四、项目实施期限：</w:t>
      </w:r>
      <w:r>
        <w:rPr>
          <w:rFonts w:hint="eastAsia" w:ascii="仿宋_GB2312" w:hAnsi="仿宋_GB2312" w:cs="仿宋_GB2312"/>
          <w:b w:val="0"/>
          <w:bCs w:val="0"/>
        </w:rPr>
        <w:t>不超过3年</w:t>
      </w:r>
    </w:p>
    <w:p w14:paraId="347D3F6A">
      <w:pPr>
        <w:ind w:firstLine="640"/>
        <w:rPr>
          <w:rFonts w:hint="eastAsia"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五、资助资金：</w:t>
      </w:r>
      <w:r>
        <w:rPr>
          <w:rFonts w:hint="eastAsia" w:ascii="仿宋_GB2312" w:hAnsi="仿宋_GB2312" w:cs="仿宋_GB2312"/>
          <w:b w:val="0"/>
          <w:bCs w:val="0"/>
        </w:rPr>
        <w:t>不超过100万元</w:t>
      </w:r>
    </w:p>
    <w:p w14:paraId="43F69C80">
      <w:pPr>
        <w:pStyle w:val="10"/>
        <w:ind w:firstLine="0" w:firstLineChars="0"/>
        <w:rPr>
          <w:rFonts w:hint="eastAsia" w:ascii="仿宋_GB2312" w:hAnsi="仿宋_GB2312" w:cs="仿宋_GB2312"/>
          <w:sz w:val="32"/>
          <w:szCs w:val="32"/>
        </w:rPr>
      </w:pPr>
    </w:p>
    <w:p w14:paraId="66DEAFEB">
      <w:pPr>
        <w:pStyle w:val="10"/>
        <w:ind w:firstLine="0" w:firstLineChars="0"/>
        <w:rPr>
          <w:rFonts w:hint="eastAsia" w:ascii="仿宋_GB2312" w:hAnsi="仿宋_GB2312" w:cs="仿宋_GB2312"/>
          <w:sz w:val="32"/>
          <w:szCs w:val="32"/>
        </w:rPr>
      </w:pPr>
    </w:p>
    <w:p w14:paraId="080FA6E9">
      <w:pPr>
        <w:pStyle w:val="10"/>
        <w:ind w:firstLine="0" w:firstLineChars="0"/>
        <w:rPr>
          <w:rFonts w:hint="eastAsia" w:ascii="仿宋_GB2312" w:hAnsi="仿宋_GB2312" w:cs="仿宋_GB2312"/>
          <w:b/>
          <w:bCs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4878A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98FE8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D202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B840E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C798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D97E5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28"/>
    <w:rsid w:val="00045CFD"/>
    <w:rsid w:val="001D62BB"/>
    <w:rsid w:val="002232EC"/>
    <w:rsid w:val="002245D9"/>
    <w:rsid w:val="002E43EF"/>
    <w:rsid w:val="003548D7"/>
    <w:rsid w:val="00380428"/>
    <w:rsid w:val="003A6359"/>
    <w:rsid w:val="0042137F"/>
    <w:rsid w:val="00575D24"/>
    <w:rsid w:val="006242A4"/>
    <w:rsid w:val="006562DB"/>
    <w:rsid w:val="006C7116"/>
    <w:rsid w:val="00766B34"/>
    <w:rsid w:val="00777460"/>
    <w:rsid w:val="007A6F76"/>
    <w:rsid w:val="008F42C7"/>
    <w:rsid w:val="009A63EA"/>
    <w:rsid w:val="009F2450"/>
    <w:rsid w:val="00A605C4"/>
    <w:rsid w:val="00A7662F"/>
    <w:rsid w:val="00AF00AD"/>
    <w:rsid w:val="00B871EB"/>
    <w:rsid w:val="00E736E5"/>
    <w:rsid w:val="00E90298"/>
    <w:rsid w:val="00EA13DC"/>
    <w:rsid w:val="00F27404"/>
    <w:rsid w:val="00F5632F"/>
    <w:rsid w:val="00FE4ACC"/>
    <w:rsid w:val="038B6862"/>
    <w:rsid w:val="10FE5CE7"/>
    <w:rsid w:val="142407B1"/>
    <w:rsid w:val="18B87130"/>
    <w:rsid w:val="23635B9B"/>
    <w:rsid w:val="29EA56F5"/>
    <w:rsid w:val="3AED2CD8"/>
    <w:rsid w:val="3F087909"/>
    <w:rsid w:val="541D79A9"/>
    <w:rsid w:val="55AC3D8A"/>
    <w:rsid w:val="57E845D3"/>
    <w:rsid w:val="59097FF9"/>
    <w:rsid w:val="5F825EDE"/>
    <w:rsid w:val="611C3702"/>
    <w:rsid w:val="703814F9"/>
    <w:rsid w:val="72B03567"/>
    <w:rsid w:val="7D38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ageBreakBefore/>
      <w:spacing w:before="240" w:after="120" w:line="360" w:lineRule="auto"/>
      <w:outlineLvl w:val="0"/>
    </w:pPr>
    <w:rPr>
      <w:rFonts w:eastAsia="仿宋" w:cs="Times New Roman"/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/>
    </w:pPr>
    <w:rPr>
      <w:rFonts w:asciiTheme="minorHAnsi" w:hAnsiTheme="minorHAnsi"/>
      <w:sz w:val="21"/>
    </w:rPr>
  </w:style>
  <w:style w:type="paragraph" w:customStyle="1" w:styleId="11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2">
    <w:name w:val="页眉 字符"/>
    <w:basedOn w:val="8"/>
    <w:link w:val="6"/>
    <w:qFormat/>
    <w:uiPriority w:val="0"/>
    <w:rPr>
      <w:rFonts w:eastAsia="仿宋_GB2312" w:cstheme="minorBidi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1132</Words>
  <Characters>1249</Characters>
  <Lines>9</Lines>
  <Paragraphs>2</Paragraphs>
  <TotalTime>3</TotalTime>
  <ScaleCrop>false</ScaleCrop>
  <LinksUpToDate>false</LinksUpToDate>
  <CharactersWithSpaces>1257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2025-09-08T17:01:00Z</dcterms:created>
  <dc:creator>Elfinsword</dc:creator>
  <cp:lastModifiedBy>Elfinsword、</cp:lastModifiedBy>
  <dcterms:modified xsi:type="dcterms:W3CDTF">2025-09-28T08:56:39Z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eyJoZGlkIjoiNjU3NzY3ZDVhNmYxZDhkNDQ2NTlmZDhiM2QxMGFlODAiLCJ1c2VySWQiOiIzNTE1MjMxMzUifQ==</vt:lpwstr>
  </property>
  <property fmtid="{D5CDD505-2E9C-101B-9397-08002B2CF9AE}" pid="4" name="ICV">
    <vt:lpwstr>2FFBE0EBDCC64A7EBBD4B0752EF688DD_13</vt:lpwstr>
  </property>
  <property fmtid="{D5CDD505-2E9C-101B-9397-08002B2CF9AE}" pid="5" name="GrammarlyDocumentId">
    <vt:lpwstr>9c399a8f-b5ef-4a36-9612-c72207728845</vt:lpwstr>
  </property>
</Properties>
</file>