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FA3E9">
      <w:pPr>
        <w:pStyle w:val="11"/>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val="0"/>
          <w:sz w:val="44"/>
          <w:szCs w:val="44"/>
          <w:highlight w:val="none"/>
          <w:lang w:val="en-US" w:eastAsia="zh-CN"/>
        </w:rPr>
        <w:t xml:space="preserve">面202604014 </w:t>
      </w:r>
      <w:r>
        <w:rPr>
          <w:rFonts w:hint="eastAsia" w:ascii="方正小标宋简体" w:hAnsi="方正小标宋简体" w:eastAsia="方正小标宋简体" w:cs="方正小标宋简体"/>
          <w:color w:val="000000"/>
          <w:sz w:val="44"/>
          <w:szCs w:val="44"/>
        </w:rPr>
        <w:t>关于多模态超声成像技术联合评估代谢相关脂肪性肝病的临床验证与应用</w:t>
      </w:r>
    </w:p>
    <w:p w14:paraId="67E5E89F">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肝脏疾病的早期无创诊断与评估</w:t>
      </w:r>
    </w:p>
    <w:p w14:paraId="7A1A1B10">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2FD0CE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（一）聚焦代谢相关脂肪性肝病的早期无创诊断与评估，通过多模态超声多参数的采集、分析与模型构建，对比FibroScan技术，验证超声多参数在该疾病诊断中的临床应用价值，解决无创诊断的精准性问题；</w:t>
      </w:r>
    </w:p>
    <w:p w14:paraId="7C6C07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融合多模态超声参数与FibroScan参数，构建联合诊断模型，多模态超声多参数：肝脏硬度值（剪切波弹性成像）、脂肪定量值（声衰减）、粘弹性参数（粘性系数、频散系数），肝瞬时弹性成像（FibroScan）参数：受控衰减参数、肝脏硬度测量值；</w:t>
      </w:r>
    </w:p>
    <w:p w14:paraId="21A10E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（三）分析验证多模态超声多参数的临床诊断价值，同时对比FibroScan技术的效能。评估该模型在识别显著肝纤维化及脂肪性肝炎等关键病理阶段中的诊断价值，验证多参数联合的精准性。</w:t>
      </w:r>
    </w:p>
    <w:p w14:paraId="00483FDC">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6EC679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4F40F4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27FADFD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1.样本收集与分析：完成≥150例研究对象（包括健康组及对照组）的多模态超声、肝瞬时弹性记录仪数据收集；</w:t>
      </w:r>
    </w:p>
    <w:p w14:paraId="3B650F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2.对构建的多模态超声联合诊断模型进行临床验证，阐明其相较于肝瞬时弹性成像技术的诊断增量价值，形成≥1份临床验证报告。</w:t>
      </w:r>
    </w:p>
    <w:p w14:paraId="1509C323">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328FCF1C">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5AEE324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4E4FEBD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32EA395A">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B2C9F78">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3C3E1AF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2FDACBB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5391196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FFC8BB8">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09D3B500">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78E0441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1BE70A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7D66B159">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FD6110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5C66CC0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5ACF75DD">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6C70C1D">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BF51E3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20EC345A">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01D023A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7EA598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03B9C1C">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面202604015 关于人工智能超声心动图技术的临床验证与应用</w:t>
      </w:r>
    </w:p>
    <w:p w14:paraId="619E2570">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rPr>
        <w:t>领域：</w:t>
      </w:r>
      <w:r>
        <w:rPr>
          <w:rFonts w:hint="eastAsia" w:ascii="Times New Roman" w:hAnsi="Times New Roman" w:eastAsia="仿宋_GB2312" w:cs="Times New Roman"/>
          <w:kern w:val="2"/>
          <w:sz w:val="32"/>
          <w:szCs w:val="32"/>
          <w:lang w:val="en-US" w:eastAsia="zh-CN" w:bidi="ar-SA"/>
          <w14:ligatures w14:val="none"/>
        </w:rPr>
        <w:t>人工智能超声心动图技术</w:t>
      </w:r>
    </w:p>
    <w:p w14:paraId="0B0F3180">
      <w:pPr>
        <w:pStyle w:val="11"/>
        <w:keepNext w:val="0"/>
        <w:keepLines w:val="0"/>
        <w:pageBreakBefore w:val="0"/>
        <w:kinsoku/>
        <w:wordWrap/>
        <w:overflowPunct/>
        <w:topLinePunct w:val="0"/>
        <w:autoSpaceDE/>
        <w:autoSpaceDN/>
        <w:bidi w:val="0"/>
        <w:adjustRightInd/>
        <w:snapToGri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683C665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（一）运用心脏模型的大数据和自适应性分析算法，通过追踪心内膜边界及识别舒张收缩时相，能够自动快速定量分析；</w:t>
      </w:r>
    </w:p>
    <w:p w14:paraId="181F831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本研究主要对比人工智能所测参数与高年资心脏医生所测结果，获得心脏超声参数的一致性、偏差情况及受试者工作特征曲线（ROC），探究人工智能深度学习技术在肥厚型心肌病左室舒张功能诊断中的价值；</w:t>
      </w:r>
    </w:p>
    <w:p w14:paraId="603540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（三）采用双盲法检测，所有参数重复测量取均值。应用SPSS 25.0统计软件进行数据分析。</w:t>
      </w:r>
    </w:p>
    <w:p w14:paraId="35250AEC">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三、项目考核指标（项目执行期内）</w:t>
      </w:r>
    </w:p>
    <w:p w14:paraId="6920D6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2BDD52D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64C09A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1.样本收集与分析：完成≥50例肥厚型心肌病患者的样本收集并形成≥1份临床验证报告；</w:t>
      </w:r>
    </w:p>
    <w:p w14:paraId="4BEDBB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2.构建联合评估模型并验证其诊断效能，为临床评估左室舒张功能提供更多无创、简便的诊断指标。并出具≥1份检测评估报告。</w:t>
      </w:r>
    </w:p>
    <w:p w14:paraId="0EAFAA8F">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highlight w:val="none"/>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042EF1F7">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3F9CFEA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26EFC9D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面202604016 关于全息脉搏波的临床验证与应用</w:t>
      </w:r>
    </w:p>
    <w:p w14:paraId="5820090A">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心血管疾病早期筛查</w:t>
      </w:r>
    </w:p>
    <w:p w14:paraId="60079D3C">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1F27EB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（一）基于大规模体检人群数据，分析全息脉搏波参数与传统心血管危险因素的相关性；</w:t>
      </w:r>
    </w:p>
    <w:p w14:paraId="598DEB9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（二）根据全息脉搏波测量结果，构建颈动脉弹性功能的性别与年龄特异性参考值范围；</w:t>
      </w:r>
    </w:p>
    <w:p w14:paraId="3494E59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（三）对全息脉搏波技术在早期动脉硬化识别中的性能进行临床验证。</w:t>
      </w:r>
    </w:p>
    <w:p w14:paraId="6A9D3D5C">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24C1A2C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338D90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58FF3F2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1.样本收集与分析：完成≥300例体检人群的全息脉搏波数据收集分析，形成≥1份全息脉搏波技术测量参考值范围研究报告；</w:t>
      </w:r>
    </w:p>
    <w:p w14:paraId="53278D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2.对全息脉搏波技术进行临床样本验证，明确其在心血管风险分层中的增量价值，形成≥1份的临床验证报告。</w:t>
      </w:r>
    </w:p>
    <w:p w14:paraId="2F6552D0">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5D26CF1A">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5AA5FBD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E6705E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20D308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67F8363">
      <w:pPr>
        <w:keepNext w:val="0"/>
        <w:keepLines w:val="0"/>
        <w:pageBreakBefore w:val="0"/>
        <w:kinsoku/>
        <w:wordWrap/>
        <w:overflowPunct/>
        <w:topLinePunct w:val="0"/>
        <w:autoSpaceDE/>
        <w:autoSpaceDN/>
        <w:bidi w:val="0"/>
        <w:adjustRightInd/>
        <w:spacing w:after="0" w:line="560" w:lineRule="exact"/>
        <w:jc w:val="center"/>
        <w:textAlignment w:val="auto"/>
        <w:rPr>
          <w:rFonts w:hint="eastAsia" w:ascii="仿宋_GB2312" w:hAnsi="仿宋_GB2312" w:eastAsia="仿宋_GB2312" w:cs="仿宋_GB2312"/>
          <w:color w:val="000000"/>
          <w:sz w:val="32"/>
          <w:szCs w:val="32"/>
          <w14:ligatures w14:val="none"/>
        </w:rPr>
      </w:pPr>
    </w:p>
    <w:p w14:paraId="113D2B5A">
      <w:pPr>
        <w:keepNext w:val="0"/>
        <w:keepLines w:val="0"/>
        <w:pageBreakBefore w:val="0"/>
        <w:kinsoku/>
        <w:wordWrap/>
        <w:overflowPunct/>
        <w:topLinePunct w:val="0"/>
        <w:autoSpaceDE/>
        <w:autoSpaceDN/>
        <w:bidi w:val="0"/>
        <w:adjustRightInd/>
        <w:spacing w:after="0" w:line="560" w:lineRule="exact"/>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面202604017 关于多维多参数超声结合AI在乳腺疾病诊疗技术的研发与应用</w:t>
      </w:r>
    </w:p>
    <w:p w14:paraId="72B4E7BF">
      <w:pPr>
        <w:keepNext w:val="0"/>
        <w:keepLines w:val="0"/>
        <w:pageBreakBefore w:val="0"/>
        <w:kinsoku/>
        <w:wordWrap/>
        <w:overflowPunct/>
        <w:topLinePunct w:val="0"/>
        <w:autoSpaceDE/>
        <w:autoSpaceDN/>
        <w:bidi w:val="0"/>
        <w:adjustRightInd/>
        <w:spacing w:after="0" w:line="560" w:lineRule="exact"/>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一、领域：</w:t>
      </w:r>
      <w:r>
        <w:rPr>
          <w:rFonts w:hint="eastAsia" w:ascii="Times New Roman" w:hAnsi="Times New Roman" w:eastAsia="仿宋_GB2312" w:cs="Times New Roman"/>
          <w:sz w:val="32"/>
          <w:szCs w:val="32"/>
          <w:lang w:val="en-US" w:eastAsia="zh-CN"/>
          <w14:ligatures w14:val="none"/>
        </w:rPr>
        <w:t>医疗AI影像技术</w:t>
      </w:r>
    </w:p>
    <w:p w14:paraId="212B723D">
      <w:pPr>
        <w:keepNext w:val="0"/>
        <w:keepLines w:val="0"/>
        <w:pageBreakBefore w:val="0"/>
        <w:kinsoku/>
        <w:wordWrap/>
        <w:overflowPunct/>
        <w:topLinePunct w:val="0"/>
        <w:autoSpaceDE/>
        <w:autoSpaceDN/>
        <w:bidi w:val="0"/>
        <w:adjustRightInd/>
        <w:spacing w:after="0" w:line="560" w:lineRule="exact"/>
        <w:jc w:val="both"/>
        <w:textAlignment w:val="auto"/>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w:t>
      </w:r>
      <w:r>
        <w:rPr>
          <w:rFonts w:hint="eastAsia" w:ascii="仿宋_GB2312" w:hAnsi="仿宋_GB2312" w:eastAsia="仿宋_GB2312" w:cs="仿宋_GB2312"/>
          <w:b/>
          <w:bCs/>
          <w:sz w:val="32"/>
          <w:szCs w:val="32"/>
          <w:lang w:val="en-US" w:eastAsia="zh-CN"/>
          <w14:ligatures w14:val="none"/>
        </w:rPr>
        <w:t>研究</w:t>
      </w:r>
      <w:r>
        <w:rPr>
          <w:rFonts w:hint="eastAsia" w:ascii="仿宋_GB2312" w:hAnsi="仿宋_GB2312" w:eastAsia="仿宋_GB2312" w:cs="仿宋_GB2312"/>
          <w:b/>
          <w:bCs/>
          <w:sz w:val="32"/>
          <w:szCs w:val="32"/>
          <w14:ligatures w14:val="none"/>
        </w:rPr>
        <w:t>内容：</w:t>
      </w:r>
    </w:p>
    <w:p w14:paraId="1ACA5E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（一）多维多参数超声技术在乳腺疾病诊疗中的应用；</w:t>
      </w:r>
    </w:p>
    <w:p w14:paraId="60A029B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（二）基于超微血流灌注及组织硬度、粘性数据的AI算法研究；</w:t>
      </w:r>
    </w:p>
    <w:p w14:paraId="7B6CEA6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（三）以乳腺良恶性肿瘤为研究对象，开展多参数超声定量分析的新方法与新技术研究；</w:t>
      </w:r>
    </w:p>
    <w:p w14:paraId="1C6A6A7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 xml:space="preserve">（四）利用多维多参数超声结合AI技术，对乳腺疾病进行辅助诊断及预后评估。 </w:t>
      </w:r>
    </w:p>
    <w:p w14:paraId="3982E4F1">
      <w:pPr>
        <w:keepNext w:val="0"/>
        <w:keepLines w:val="0"/>
        <w:pageBreakBefore w:val="0"/>
        <w:kinsoku/>
        <w:wordWrap/>
        <w:overflowPunct/>
        <w:topLinePunct w:val="0"/>
        <w:autoSpaceDE/>
        <w:autoSpaceDN/>
        <w:bidi w:val="0"/>
        <w:adjustRightInd/>
        <w:spacing w:after="0" w:line="560" w:lineRule="exact"/>
        <w:jc w:val="both"/>
        <w:textAlignment w:val="auto"/>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6D95D4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（一）学术指标：发表学术论文≥1篇或申请专利≥1项。</w:t>
      </w:r>
    </w:p>
    <w:p w14:paraId="280A1D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270AF3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 xml:space="preserve">1.搭建一套多维多参数超声乳腺智能诊断一体化平台； </w:t>
      </w:r>
    </w:p>
    <w:p w14:paraId="6A19BD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2.开发超微血流定量、粘弹性分析等AI算法，算法的性能达到国际领先水平，并完成≥1份性能评估报告。</w:t>
      </w:r>
    </w:p>
    <w:p w14:paraId="78827B9D">
      <w:pPr>
        <w:keepNext w:val="0"/>
        <w:keepLines w:val="0"/>
        <w:pageBreakBefore w:val="0"/>
        <w:kinsoku/>
        <w:wordWrap/>
        <w:overflowPunct/>
        <w:topLinePunct w:val="0"/>
        <w:autoSpaceDE/>
        <w:autoSpaceDN/>
        <w:bidi w:val="0"/>
        <w:adjustRightInd/>
        <w:spacing w:after="0" w:line="560" w:lineRule="exact"/>
        <w:jc w:val="both"/>
        <w:textAlignment w:val="auto"/>
        <w:rPr>
          <w:rFonts w:hint="eastAsia" w:ascii="Times New Roman" w:hAnsi="Times New Roman" w:eastAsia="仿宋_GB2312" w:cs="Times New Roman"/>
          <w:sz w:val="32"/>
          <w:szCs w:val="32"/>
          <w:lang w:val="en-US" w:eastAsia="zh-CN"/>
          <w14:ligatures w14:val="none"/>
        </w:rPr>
      </w:pPr>
      <w:r>
        <w:rPr>
          <w:rFonts w:hint="eastAsia" w:ascii="仿宋_GB2312" w:hAnsi="仿宋_GB2312" w:eastAsia="仿宋_GB2312" w:cs="仿宋_GB2312"/>
          <w:b/>
          <w:bCs/>
          <w:sz w:val="32"/>
          <w:szCs w:val="32"/>
          <w14:ligatures w14:val="none"/>
        </w:rPr>
        <w:t>四、项目实施期限：</w:t>
      </w:r>
      <w:r>
        <w:rPr>
          <w:rFonts w:hint="eastAsia" w:ascii="Times New Roman" w:hAnsi="Times New Roman" w:eastAsia="仿宋_GB2312" w:cs="Times New Roman"/>
          <w:sz w:val="32"/>
          <w:szCs w:val="32"/>
          <w:lang w:val="en-US" w:eastAsia="zh-CN"/>
          <w14:ligatures w14:val="none"/>
        </w:rPr>
        <w:t>不超过2年</w:t>
      </w:r>
    </w:p>
    <w:p w14:paraId="40CD2647">
      <w:pPr>
        <w:keepNext w:val="0"/>
        <w:keepLines w:val="0"/>
        <w:pageBreakBefore w:val="0"/>
        <w:kinsoku/>
        <w:wordWrap/>
        <w:overflowPunct/>
        <w:topLinePunct w:val="0"/>
        <w:autoSpaceDE/>
        <w:autoSpaceDN/>
        <w:bidi w:val="0"/>
        <w:adjustRightInd/>
        <w:spacing w:after="0" w:line="560" w:lineRule="exact"/>
        <w:jc w:val="both"/>
        <w:textAlignment w:val="auto"/>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五、资助资金：</w:t>
      </w:r>
      <w:r>
        <w:rPr>
          <w:rFonts w:hint="eastAsia" w:ascii="Times New Roman" w:hAnsi="Times New Roman" w:eastAsia="仿宋_GB2312" w:cs="Times New Roman"/>
          <w:sz w:val="32"/>
          <w:szCs w:val="32"/>
          <w:lang w:val="en-US" w:eastAsia="zh-CN"/>
          <w14:ligatures w14:val="none"/>
        </w:rPr>
        <w:t>不超过5万元</w:t>
      </w:r>
    </w:p>
    <w:p w14:paraId="19424F88">
      <w:pPr>
        <w:keepNext w:val="0"/>
        <w:keepLines w:val="0"/>
        <w:pageBreakBefore w:val="0"/>
        <w:kinsoku/>
        <w:wordWrap/>
        <w:overflowPunct/>
        <w:topLinePunct w:val="0"/>
        <w:autoSpaceDE/>
        <w:autoSpaceDN/>
        <w:bidi w:val="0"/>
        <w:adjustRightInd/>
        <w:spacing w:after="0" w:line="560" w:lineRule="exact"/>
        <w:ind w:right="19" w:firstLine="643" w:firstLineChars="200"/>
        <w:jc w:val="both"/>
        <w:textAlignment w:val="auto"/>
        <w:rPr>
          <w:rFonts w:hint="eastAsia" w:ascii="仿宋_GB2312" w:hAnsi="仿宋_GB2312" w:eastAsia="仿宋_GB2312" w:cs="仿宋_GB2312"/>
          <w:b/>
          <w:bCs/>
          <w:sz w:val="32"/>
          <w:szCs w:val="32"/>
          <w14:ligatures w14:val="none"/>
        </w:rPr>
      </w:pPr>
    </w:p>
    <w:p w14:paraId="1FF1D0CD">
      <w:pPr>
        <w:keepNext w:val="0"/>
        <w:keepLines w:val="0"/>
        <w:pageBreakBefore w:val="0"/>
        <w:kinsoku/>
        <w:wordWrap/>
        <w:overflowPunct/>
        <w:topLinePunct w:val="0"/>
        <w:autoSpaceDE/>
        <w:autoSpaceDN/>
        <w:bidi w:val="0"/>
        <w:adjustRightInd/>
        <w:spacing w:after="0" w:line="560" w:lineRule="exact"/>
        <w:ind w:right="19" w:firstLine="643" w:firstLineChars="200"/>
        <w:jc w:val="center"/>
        <w:textAlignment w:val="auto"/>
        <w:rPr>
          <w:rFonts w:hint="eastAsia" w:ascii="仿宋_GB2312" w:hAnsi="仿宋_GB2312" w:eastAsia="仿宋_GB2312" w:cs="仿宋_GB2312"/>
          <w:b/>
          <w:bCs/>
          <w:sz w:val="32"/>
          <w:szCs w:val="32"/>
          <w14:ligatures w14:val="none"/>
        </w:rPr>
      </w:pPr>
    </w:p>
    <w:p w14:paraId="318BDC0B">
      <w:pPr>
        <w:keepNext w:val="0"/>
        <w:keepLines w:val="0"/>
        <w:pageBreakBefore w:val="0"/>
        <w:kinsoku/>
        <w:wordWrap/>
        <w:overflowPunct/>
        <w:topLinePunct w:val="0"/>
        <w:autoSpaceDE/>
        <w:autoSpaceDN/>
        <w:bidi w:val="0"/>
        <w:adjustRightInd/>
        <w:spacing w:after="0" w:line="560" w:lineRule="exact"/>
        <w:ind w:right="19" w:firstLine="643" w:firstLineChars="200"/>
        <w:jc w:val="center"/>
        <w:textAlignment w:val="auto"/>
        <w:rPr>
          <w:rFonts w:hint="eastAsia" w:ascii="仿宋_GB2312" w:hAnsi="仿宋_GB2312" w:eastAsia="仿宋_GB2312" w:cs="仿宋_GB2312"/>
          <w:b/>
          <w:bCs/>
          <w:sz w:val="32"/>
          <w:szCs w:val="32"/>
          <w14:ligatures w14:val="none"/>
        </w:rPr>
      </w:pPr>
    </w:p>
    <w:p w14:paraId="2E28891E">
      <w:pPr>
        <w:keepNext w:val="0"/>
        <w:keepLines w:val="0"/>
        <w:pageBreakBefore w:val="0"/>
        <w:kinsoku/>
        <w:wordWrap/>
        <w:overflowPunct/>
        <w:topLinePunct w:val="0"/>
        <w:autoSpaceDE/>
        <w:autoSpaceDN/>
        <w:bidi w:val="0"/>
        <w:adjustRightInd/>
        <w:spacing w:after="0" w:line="560" w:lineRule="exact"/>
        <w:ind w:right="19" w:firstLine="643" w:firstLineChars="200"/>
        <w:jc w:val="center"/>
        <w:textAlignment w:val="auto"/>
        <w:rPr>
          <w:rFonts w:hint="eastAsia" w:ascii="仿宋_GB2312" w:hAnsi="仿宋_GB2312" w:eastAsia="仿宋_GB2312" w:cs="仿宋_GB2312"/>
          <w:b/>
          <w:bCs/>
          <w:sz w:val="32"/>
          <w:szCs w:val="32"/>
          <w14:ligatures w14:val="none"/>
        </w:rPr>
      </w:pPr>
    </w:p>
    <w:p w14:paraId="60CDB7A0">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面202604018 代谢功能障碍相关脂肪性肝病的临床研究</w:t>
      </w:r>
    </w:p>
    <w:p w14:paraId="2A47B64C">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超声诊断</w:t>
      </w:r>
    </w:p>
    <w:p w14:paraId="1C29445F">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7630C44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（一）前瞻性招募可疑或确诊的代谢功能障碍相关脂肪性肝病（MASLD）患者，采用联合成像获得衰减参数、肝脏硬度、粘弹性等相关指标；</w:t>
      </w:r>
    </w:p>
    <w:p w14:paraId="47E6DAD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（二）磁共振成像质子密度脂肪分数（MRI-PDFF）和磁共振弹性成像（MRE）作为诊断MASLD和代谢功能障碍相关脂肪性肝炎（MASH）的金标准，将患者进行分组；</w:t>
      </w:r>
    </w:p>
    <w:p w14:paraId="7E665E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（三）通过联合成像获取的相关参数，建立模型以评估MASLD和MASH；</w:t>
      </w:r>
    </w:p>
    <w:p w14:paraId="4061B3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（四）基于多参数超声图像，开发卷积神经网络算法，建立模型以早期诊断MASLD以及MASH。</w:t>
      </w:r>
    </w:p>
    <w:p w14:paraId="3842FEC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7D35FD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1B3E871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74D9D99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1.基于多参数超声技术（Mindray-A20超声诊断仪），以MRI-PDFF和MRE作为诊断MASLD和MASH的金标准，评估多参数超声技术在MAFLD以及MASH方面的诊断效能；</w:t>
      </w:r>
    </w:p>
    <w:p w14:paraId="48D1F6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 基于多参数超声图像，开发卷积神经网络算法，建立模型以早期诊断MAFLD以及MASH，实现对慢性肝病患者的个性化风险分层管理，形成≥1份评估报告。</w:t>
      </w:r>
    </w:p>
    <w:p w14:paraId="4EFCD55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54912D7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1E8F63B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1FEE98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98B326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201A388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50EBA09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FF9C998">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57789F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7FB4A3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46774E7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10F17BF">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E7185A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F3E2A4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FE567F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5C41E00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44864C0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327F5CE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F0B5C8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822C2E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49B56D9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2A1EB07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8F15F3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6277AEA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1B8356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58D1EFE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面202604019 关于超声粘性弹性成像评价踝关节距腓前韧带（ATFL）损伤程度及预后价值的临床验证与应用</w:t>
      </w:r>
    </w:p>
    <w:p w14:paraId="692E7DE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肌骨超声</w:t>
      </w:r>
    </w:p>
    <w:p w14:paraId="5F30E32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6F1495E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（一）基于超声粘性弹性成像技术，系统研究踝关节距腓前韧带（ATFL）不同损伤程度患者的韧带形态学（如整体连续性、局部回声、韧带厚度及周围液性暗区）、粘弹性参数（如硬度值、粘度系数）特征等；</w:t>
      </w:r>
    </w:p>
    <w:p w14:paraId="4BB239E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明确踝关节距腓前韧带不同程度损伤的超声粘性弹性成像规律，重点探索超声粘性弹性成像技术在该类损伤的诊断、治疗方案选择及康复监测中的稳定性、有效性，为评估组织炎症状态、功能水平及治疗效果提供精准客观依据。</w:t>
      </w:r>
    </w:p>
    <w:p w14:paraId="11624B4C">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2B43B4E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01F4B4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1025658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1.样本收集与分析：完成≥50例踝关节距腓前韧带损伤患者样本收集，评估粘弹性在预测损伤程度、治疗方案选择的价值；</w:t>
      </w:r>
    </w:p>
    <w:p w14:paraId="1B47BD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2.基于以上研究撰写≥1份检测评估报告。</w:t>
      </w:r>
    </w:p>
    <w:p w14:paraId="62A8AB0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46612A29">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33E0326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63AB76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61A423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面202604020关于肝脏微波消融优化技术的研发与应用</w:t>
      </w:r>
    </w:p>
    <w:p w14:paraId="40BB36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b/>
          <w:bCs/>
          <w:sz w:val="32"/>
          <w:szCs w:val="32"/>
        </w:rPr>
        <w:t>领域：</w:t>
      </w:r>
      <w:r>
        <w:rPr>
          <w:rFonts w:hint="eastAsia" w:ascii="Times New Roman" w:hAnsi="Times New Roman" w:eastAsia="仿宋_GB2312" w:cs="Times New Roman"/>
          <w:sz w:val="32"/>
          <w:szCs w:val="32"/>
          <w:lang w:val="en-US" w:eastAsia="zh-CN"/>
          <w14:ligatures w14:val="none"/>
        </w:rPr>
        <w:t>超声医学与肿瘤</w:t>
      </w:r>
    </w:p>
    <w:p w14:paraId="7A26F1E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rPr>
        <w:t>主要</w:t>
      </w:r>
      <w:r>
        <w:rPr>
          <w:rFonts w:hint="eastAsia" w:ascii="仿宋_GB2312" w:hAnsi="仿宋_GB2312" w:eastAsia="仿宋_GB2312" w:cs="仿宋_GB2312"/>
          <w:b/>
          <w:bCs/>
          <w:sz w:val="32"/>
          <w:szCs w:val="32"/>
          <w:lang w:val="en-US" w:eastAsia="zh-CN"/>
        </w:rPr>
        <w:t>研究</w:t>
      </w:r>
      <w:r>
        <w:rPr>
          <w:rFonts w:hint="eastAsia" w:ascii="仿宋_GB2312" w:hAnsi="仿宋_GB2312" w:eastAsia="仿宋_GB2312" w:cs="仿宋_GB2312"/>
          <w:b/>
          <w:bCs/>
          <w:sz w:val="32"/>
          <w:szCs w:val="32"/>
        </w:rPr>
        <w:t>内容：</w:t>
      </w:r>
    </w:p>
    <w:p w14:paraId="2FE69E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肝脏消融位置与肝功能损伤的关联性研究：采用动物实验与临床回顾性分析相结合的方式，重点探究不同肝脏位置（如邻近管道系统、肝周缘等关键区域）的微波消融灶，对核心肝功能指标（ALT、AST、TBIL）及肝组织病理形态造成的具体影响，明确消融位置与肝功能损伤程度的量化关联；</w:t>
      </w:r>
    </w:p>
    <w:p w14:paraId="36CDC4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肝功能损伤的分子机制解析：整合多模态影像技术与分子生物学技术，深入挖掘不同位置消融灶引发肝功能损伤的内在分子机制，识别关键分子标志物或核心信号通路，构建“消融位置—分子变化—肝功能损伤”的关联机制模型；</w:t>
      </w:r>
    </w:p>
    <w:p w14:paraId="21EAF3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消融治疗优化策略的构建与开发：基于前述关联分析及机制研究结果，针对性提出肝脏高危区域（如邻近管道系统）的微波消融参数调整方案；同时开发基于人工智能的消融范围预测模型，实现消融计划的个体化精准规划，在保障治疗效果的前提下，最大限度降低肝功能损伤风险。</w:t>
      </w:r>
    </w:p>
    <w:p w14:paraId="254B234F">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4AED634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001ED3D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3D8F385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1.建立肝功能损伤评估体系：完成不同消融位置（邻近管道/周缘）对肝功能指标（ALT、AST、TBIL）影响的量化分析，明确损伤程度与恢复时间窗口，形成可量化的评估标准并形成≥1份评估报告；</w:t>
      </w:r>
    </w:p>
    <w:p w14:paraId="5CB784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2.揭示损伤分子机制：通过多模态影像与分子生物学技术，识别并验证不同位置消融灶引发肝功能损伤的关键分子标志物或信号通路，建立损伤机制模型；</w:t>
      </w:r>
    </w:p>
    <w:p w14:paraId="70BC05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3.开发并验证优化方案：提出高危区域微波消融参数调整方案，开发基于人工智能的消融范围预测模型，实现个体化精准规划。</w:t>
      </w:r>
    </w:p>
    <w:p w14:paraId="758167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四、项目实施期限：</w:t>
      </w:r>
      <w:r>
        <w:rPr>
          <w:rFonts w:hint="eastAsia" w:ascii="Times New Roman" w:hAnsi="Times New Roman" w:eastAsia="仿宋_GB2312" w:cs="Times New Roman"/>
          <w:sz w:val="32"/>
          <w:szCs w:val="32"/>
          <w:lang w:val="en-US" w:eastAsia="zh-CN"/>
          <w14:ligatures w14:val="none"/>
        </w:rPr>
        <w:t>不超过2年</w:t>
      </w:r>
    </w:p>
    <w:p w14:paraId="346965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rPr>
        <w:t>五、资助资金：</w:t>
      </w:r>
      <w:r>
        <w:rPr>
          <w:rFonts w:hint="eastAsia" w:ascii="Times New Roman" w:hAnsi="Times New Roman" w:eastAsia="仿宋_GB2312" w:cs="Times New Roman"/>
          <w:sz w:val="32"/>
          <w:szCs w:val="32"/>
          <w:lang w:val="en-US" w:eastAsia="zh-CN"/>
          <w14:ligatures w14:val="none"/>
        </w:rPr>
        <w:t>不超过5万元</w:t>
      </w:r>
    </w:p>
    <w:p w14:paraId="2DED757C">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CCED30A">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3C7ED53">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C003A76">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7FB895B">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509731C2">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97C34E9">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1DF22BE2">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3FA4C36E">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62051BD3">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30382E9F">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0BE8D950">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1F0D48E8">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8D13AE2">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45CF4379">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spacing w:val="8"/>
          <w:sz w:val="32"/>
          <w:szCs w:val="32"/>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面202604021 多参数成像在甲状腺病变中的临床验证与应用</w:t>
      </w:r>
    </w:p>
    <w:p w14:paraId="55B5D18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超声诊断学</w:t>
      </w:r>
    </w:p>
    <w:p w14:paraId="28A5C52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76CEB0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（一）针对甲状腺病变，利用超声多参数成像技术（包含应变式弹性成像、剪切波弹性成像、粘弹性成像），验证其在临床应用中的稳定性及重复性；</w:t>
      </w:r>
    </w:p>
    <w:p w14:paraId="54AD89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（二）探索超声多参数诊断甲状腺病变，并建立诊断模型。</w:t>
      </w:r>
    </w:p>
    <w:p w14:paraId="54DDD7D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0E91207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6E3887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173220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1.样本收集与分析：分别采集≥100例甲状腺病变及≥100例甲状腺病变的多参数成像，验证技术的重复性及稳定性，形成≥1份应用评估报告；</w:t>
      </w:r>
    </w:p>
    <w:p w14:paraId="314905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2.模型构建及验证：构建基于多参数成像的诊断模型，对该模型进行性能验证及临床样本测试，并出具≥1份检测评估报告。</w:t>
      </w:r>
    </w:p>
    <w:p w14:paraId="231F4B0D">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1882F35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五、资助金额：</w:t>
      </w:r>
      <w:r>
        <w:rPr>
          <w:rFonts w:hint="eastAsia" w:ascii="Times New Roman" w:hAnsi="Times New Roman" w:eastAsia="仿宋_GB2312" w:cs="Times New Roman"/>
          <w:kern w:val="2"/>
          <w:sz w:val="32"/>
          <w:szCs w:val="32"/>
          <w:lang w:val="en-US" w:eastAsia="zh-CN" w:bidi="ar-SA"/>
          <w14:ligatures w14:val="none"/>
        </w:rPr>
        <w:t>不超过10万元</w:t>
      </w:r>
    </w:p>
    <w:p w14:paraId="4AE424B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3D77B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DD7605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DF387E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A1729E9">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面202604022 基于超声影像的原发性冻结肩诊疗康复一体化临床应用研究</w:t>
      </w:r>
    </w:p>
    <w:p w14:paraId="19AB887D">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rPr>
        <w:t>一、领域：</w:t>
      </w:r>
      <w:r>
        <w:rPr>
          <w:rFonts w:hint="eastAsia" w:ascii="仿宋_GB2312" w:hAnsi="仿宋_GB2312" w:eastAsia="仿宋_GB2312" w:cs="仿宋_GB2312"/>
          <w:bCs/>
          <w:color w:val="auto"/>
          <w:kern w:val="2"/>
          <w:sz w:val="32"/>
          <w:szCs w:val="32"/>
          <w:lang w:val="en-US" w:eastAsia="zh-CN" w:bidi="ar-SA"/>
        </w:rPr>
        <w:t>超声影像</w:t>
      </w:r>
    </w:p>
    <w:p w14:paraId="6E7C29F1">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60F902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（一）本研究旨在探讨中西医结合微创多靶点综合治疗结合</w:t>
      </w:r>
      <w:bookmarkStart w:id="0" w:name="_GoBack"/>
      <w:bookmarkEnd w:id="0"/>
      <w:r>
        <w:rPr>
          <w:rFonts w:hint="eastAsia" w:ascii="Times New Roman" w:hAnsi="Times New Roman" w:eastAsia="仿宋_GB2312" w:cs="Times New Roman"/>
          <w:sz w:val="32"/>
          <w:szCs w:val="32"/>
          <w:lang w:val="en-US" w:eastAsia="zh-CN"/>
          <w14:ligatures w14:val="none"/>
        </w:rPr>
        <w:t>特色功能锻炼对原发性冻结肩的临床疗效，尝试建立一种基于超声影像的原发性冻结肩诊疗康复一体化方案并在临床推广应用；</w:t>
      </w:r>
    </w:p>
    <w:p w14:paraId="1098A4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计划入组120例研究参与者进入该临床研究，在经患者知情同意并符合筛选标准后，患者将被纳入本次临床研究，按照随机化的原则随机分配到试验组或对照组，试验组将采用超声引导下盂肱关节液压松解+肩峰下滑囊注射+肩胛上神经阻滞+针刀序贯松解治疗；对照组采用超声引导下盂肱关节液压松解+肩峰下滑囊注射+肩胛上神经阻滞疗法。</w:t>
      </w:r>
    </w:p>
    <w:p w14:paraId="6C29477D">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26BD6C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601BB5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05B996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1.样本收集与分析：完成≥120例原发性冻结肩患者的样本收集，形成≥1份基于超声影像的原发性冻结肩诊疗康复一体化临床应用研究报告；</w:t>
      </w:r>
    </w:p>
    <w:p w14:paraId="552C29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2.对以上体系进行性能验证及临床样本测试，并出具≥1份临床研究报告。</w:t>
      </w:r>
    </w:p>
    <w:p w14:paraId="651E505E">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33342080">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五、资助金额：</w:t>
      </w:r>
      <w:r>
        <w:rPr>
          <w:rFonts w:hint="eastAsia" w:ascii="Times New Roman" w:hAnsi="Times New Roman" w:eastAsia="仿宋_GB2312" w:cs="Times New Roman"/>
          <w:kern w:val="2"/>
          <w:sz w:val="32"/>
          <w:szCs w:val="32"/>
          <w:lang w:val="en-US" w:eastAsia="zh-CN" w:bidi="ar-SA"/>
          <w14:ligatures w14:val="none"/>
        </w:rPr>
        <w:t>不超过10万元</w:t>
      </w:r>
    </w:p>
    <w:p w14:paraId="3061383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F6BF92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4B2BAE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CDA13A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25E1C4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4470AE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BD6DBF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DF2A4A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469E67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BE7239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4C5B09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3357EE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808569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0A1318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EBBF25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937E13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7C1E05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EAE1CD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418834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EB2B4B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C4245C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598D24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0930C9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8AF889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val="0"/>
          <w:sz w:val="32"/>
          <w:szCs w:val="32"/>
          <w:lang w:val="en-US" w:eastAsia="zh-CN"/>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面202604023 用于腹壁组织血管化程度成像技术的研发与应用</w:t>
      </w:r>
    </w:p>
    <w:p w14:paraId="7CB077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一、领域：</w:t>
      </w:r>
      <w:r>
        <w:rPr>
          <w:rFonts w:hint="eastAsia" w:ascii="Times New Roman" w:hAnsi="Times New Roman" w:eastAsia="仿宋_GB2312" w:cs="Times New Roman"/>
          <w:sz w:val="32"/>
          <w:szCs w:val="32"/>
          <w:lang w:val="en-US" w:eastAsia="zh-CN"/>
          <w14:ligatures w14:val="none"/>
        </w:rPr>
        <w:t>超声成像</w:t>
      </w:r>
    </w:p>
    <w:p w14:paraId="7290246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二、主要研究内容：</w:t>
      </w:r>
    </w:p>
    <w:p w14:paraId="5495ADD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（一）以高频超声血管成像与超声造影微循环成像为核心，完成高频探头与关键成像参数（频率、聚焦深度等）优化及参数自适应调节策略构建；</w:t>
      </w:r>
    </w:p>
    <w:p w14:paraId="2A3C059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建立腹壁微小血管形态显示与微循环灌注监测的标准化采集流程，开发双模态图像自动配准与融合方法，并通过体外模型及临床样本实验完成可行性验证，搭建用于腹壁组织血管化程度评估的高频超声/超声造影双模态一体化成像平台；</w:t>
      </w:r>
    </w:p>
    <w:p w14:paraId="3FE8AE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基于双模态一体化平台，建立血管化程度量化分析体系（如时间—强度曲线及灌注相关参数等），实现腹壁组织血管形态与灌注的联合定量评估，在不同部位、不同深度及不同探查角度条件下获得稳定一致的评估结果，血管化程度评估准确性与稳定性优于现有常规超声血管评估技术。</w:t>
      </w:r>
    </w:p>
    <w:p w14:paraId="19FDCFB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三、项目考核指标（项目执行期内）</w:t>
      </w:r>
    </w:p>
    <w:p w14:paraId="2FFB85F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604557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32BDCE9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1.搭建一套高频超声与超声造影一体化成像平台，平台可实现腹壁组织血管的清晰成像与微循环灌注的精准监测，满足体外实验与临床初步应用需求；​</w:t>
      </w:r>
    </w:p>
    <w:p w14:paraId="4549D3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2.开发一套自动图像配准及双模态融合算法（高频超声图像与超声造影图像），算法配准精度满足临床诊疗要求，能够有效提升血管化评估的精准性，形成≥1份性能评估报告；​</w:t>
      </w:r>
    </w:p>
    <w:p w14:paraId="0D2E110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四、项目实施期限：</w:t>
      </w:r>
      <w:r>
        <w:rPr>
          <w:rFonts w:hint="eastAsia" w:ascii="Times New Roman" w:hAnsi="Times New Roman" w:eastAsia="仿宋_GB2312" w:cs="Times New Roman"/>
          <w:sz w:val="32"/>
          <w:szCs w:val="32"/>
          <w:lang w:val="en-US" w:eastAsia="zh-CN"/>
          <w14:ligatures w14:val="none"/>
        </w:rPr>
        <w:t>不超过2年</w:t>
      </w:r>
    </w:p>
    <w:p w14:paraId="3116B1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五、资助资金：</w:t>
      </w:r>
      <w:r>
        <w:rPr>
          <w:rFonts w:hint="eastAsia" w:ascii="Times New Roman" w:hAnsi="Times New Roman" w:eastAsia="仿宋_GB2312" w:cs="Times New Roman"/>
          <w:sz w:val="32"/>
          <w:szCs w:val="32"/>
          <w:lang w:val="en-US" w:eastAsia="zh-CN"/>
          <w14:ligatures w14:val="none"/>
        </w:rPr>
        <w:t>不超过10万元</w:t>
      </w:r>
    </w:p>
    <w:p w14:paraId="03504E6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2D673D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79BE97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F7A83D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D330E2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176F67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BCF92A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10FC97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E79BD6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B45FC5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0D93E4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F9CE87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C07424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35B324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2B5D84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E92E9D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55536F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8FEC53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F099D5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B76621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14:ligatures w14:val="none"/>
        </w:rPr>
      </w:pPr>
      <w:r>
        <w:rPr>
          <w:rFonts w:hint="eastAsia" w:ascii="方正小标宋简体" w:hAnsi="方正小标宋简体" w:eastAsia="方正小标宋简体" w:cs="方正小标宋简体"/>
          <w:sz w:val="44"/>
          <w:szCs w:val="44"/>
          <w:lang w:val="en-US" w:eastAsia="zh-CN"/>
          <w14:ligatures w14:val="none"/>
        </w:rPr>
        <w:t xml:space="preserve">面202604024 </w:t>
      </w:r>
      <w:r>
        <w:rPr>
          <w:rFonts w:hint="eastAsia" w:ascii="方正小标宋简体" w:hAnsi="方正小标宋简体" w:eastAsia="方正小标宋简体" w:cs="方正小标宋简体"/>
          <w:sz w:val="44"/>
          <w:szCs w:val="44"/>
          <w14:ligatures w14:val="none"/>
        </w:rPr>
        <w:t>超高场磁共振解析SCD内嗅-海马亚层级神经动力学失衡及其环路重塑机制的研究</w:t>
      </w:r>
    </w:p>
    <w:p w14:paraId="2917252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一、领域：</w:t>
      </w:r>
      <w:r>
        <w:rPr>
          <w:rFonts w:hint="eastAsia" w:ascii="Times New Roman" w:hAnsi="Times New Roman" w:eastAsia="仿宋_GB2312" w:cs="Times New Roman"/>
          <w:sz w:val="32"/>
          <w:szCs w:val="32"/>
          <w:lang w:val="en-US" w:eastAsia="zh-CN"/>
          <w14:ligatures w14:val="none"/>
        </w:rPr>
        <w:t>超高场磁共振成像</w:t>
      </w:r>
    </w:p>
    <w:p w14:paraId="1AA09A4E">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二、主要研究内容：</w:t>
      </w:r>
    </w:p>
    <w:p w14:paraId="2993E56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（一）关注嗅觉感知反馈解码，检测内嗅皮层亚层级编码特征，利用超高场磁共振（&gt;3T）Layer-fMRI，实现亚毫米尺度下人类嗅觉浅/深层反馈信号特征的采集；</w:t>
      </w:r>
    </w:p>
    <w:p w14:paraId="104D94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（二）构建生物约束下的嗅觉记忆环路动力学计算模型，融合Layer-fMRI、Tau-PET等数据，构建由内嗅皮层海马亚层级计算模型；</w:t>
      </w:r>
    </w:p>
    <w:p w14:paraId="102EE29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（三）探究嗅觉训练驱动的环路重塑机制，通过规范化嗅觉记忆训练干预，通过纵向Layer-fMRI追踪评估干预能否纠正层级动力学失衡，明确其调控认知功能恢复的核心靶点。</w:t>
      </w:r>
    </w:p>
    <w:p w14:paraId="4FE374B7">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i w:val="0"/>
          <w:iCs w:val="0"/>
          <w:sz w:val="32"/>
          <w:szCs w:val="32"/>
          <w14:ligatures w14:val="none"/>
        </w:rPr>
      </w:pPr>
      <w:r>
        <w:rPr>
          <w:rFonts w:hint="eastAsia" w:ascii="仿宋_GB2312" w:hAnsi="仿宋_GB2312" w:eastAsia="仿宋_GB2312" w:cs="仿宋_GB2312"/>
          <w:b/>
          <w:bCs/>
          <w:i w:val="0"/>
          <w:iCs w:val="0"/>
          <w:sz w:val="32"/>
          <w:szCs w:val="32"/>
          <w14:ligatures w14:val="none"/>
        </w:rPr>
        <w:t>三、项目考核指标（项目执行期内）</w:t>
      </w:r>
    </w:p>
    <w:p w14:paraId="752714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53CE27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2EDFBD3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1.样本收集与技术体系建立：完成≥50例SCD受试者及相应健康对照组的多模态数据（含5TLayer-fMRI、嗅觉行为学）采集与分析，建立标准化的嗅觉任务态层级成像与数据处理流程；</w:t>
      </w:r>
    </w:p>
    <w:p w14:paraId="30BF985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2.机制验证与模型开发：建立内嗅皮层海马亚层级计算模型，形成一套可用于SCD早期风险分层的“神经动力学指纹”评估框架；</w:t>
      </w:r>
    </w:p>
    <w:p w14:paraId="699922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3.干预方案验证：制定并验证一套规范化的嗅觉记忆训练干预策略，阐明其重塑亚层级环路功能的生物学依据，形成≥1份评估报告。</w:t>
      </w:r>
    </w:p>
    <w:p w14:paraId="589A036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四、项目实施年限：</w:t>
      </w:r>
      <w:r>
        <w:rPr>
          <w:rFonts w:hint="eastAsia" w:ascii="Times New Roman" w:hAnsi="Times New Roman" w:eastAsia="仿宋_GB2312" w:cs="Times New Roman"/>
          <w:sz w:val="32"/>
          <w:szCs w:val="32"/>
          <w:lang w:val="en-US" w:eastAsia="zh-CN"/>
          <w14:ligatures w14:val="none"/>
        </w:rPr>
        <w:t>不超过2年</w:t>
      </w:r>
    </w:p>
    <w:p w14:paraId="7C60D100">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五、资助金额：</w:t>
      </w:r>
      <w:r>
        <w:rPr>
          <w:rFonts w:hint="eastAsia" w:ascii="Times New Roman" w:hAnsi="Times New Roman" w:eastAsia="仿宋_GB2312" w:cs="Times New Roman"/>
          <w:sz w:val="32"/>
          <w:szCs w:val="32"/>
          <w:lang w:val="en-US" w:eastAsia="zh-CN"/>
          <w14:ligatures w14:val="none"/>
        </w:rPr>
        <w:t>不超过10万元</w:t>
      </w:r>
    </w:p>
    <w:p w14:paraId="145FF80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133EA3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251602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21599B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AA160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7D5808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AA7459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061391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A1E2DD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3C7D67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1941E7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AC4538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8BD924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6EB4CE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167A86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854221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3C4665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033935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F20F6CF">
      <w:pPr>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br w:type="page"/>
      </w:r>
    </w:p>
    <w:p w14:paraId="3E1A009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Times New Roman" w:eastAsia="方正小标宋_GBK" w:cs="Times New Roman"/>
          <w:bCs/>
          <w:sz w:val="36"/>
          <w:szCs w:val="36"/>
        </w:rPr>
      </w:pPr>
      <w:r>
        <w:rPr>
          <w:rFonts w:hint="eastAsia" w:ascii="方正小标宋简体" w:hAnsi="方正小标宋简体" w:eastAsia="方正小标宋简体" w:cs="方正小标宋简体"/>
          <w:sz w:val="44"/>
          <w:szCs w:val="44"/>
          <w:lang w:val="en-US" w:eastAsia="zh-CN"/>
          <w14:ligatures w14:val="none"/>
        </w:rPr>
        <w:t xml:space="preserve">面202604025 </w:t>
      </w:r>
      <w:r>
        <w:rPr>
          <w:rFonts w:hint="eastAsia" w:ascii="方正小标宋简体" w:hAnsi="方正小标宋简体" w:eastAsia="方正小标宋简体" w:cs="方正小标宋简体"/>
          <w:bCs/>
          <w:sz w:val="44"/>
          <w:szCs w:val="44"/>
        </w:rPr>
        <w:t>基于多期增强MRI生境影像的肝内胆管癌分型与侵袭预测研究</w:t>
      </w:r>
    </w:p>
    <w:p w14:paraId="1870DCFF">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b/>
          <w:bCs/>
          <w:color w:val="C00000"/>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w:t>
      </w:r>
      <w:r>
        <w:rPr>
          <w:rFonts w:hint="eastAsia" w:ascii="仿宋_GB2312" w:hAnsi="仿宋_GB2312" w:eastAsia="仿宋_GB2312" w:cs="仿宋_GB2312"/>
          <w:b/>
          <w:bCs/>
          <w:sz w:val="32"/>
          <w:szCs w:val="32"/>
        </w:rPr>
        <w:t>领域：</w:t>
      </w:r>
      <w:r>
        <w:rPr>
          <w:rFonts w:hint="eastAsia" w:ascii="Times New Roman" w:hAnsi="Times New Roman" w:eastAsia="仿宋_GB2312" w:cs="Times New Roman"/>
          <w:kern w:val="2"/>
          <w:sz w:val="32"/>
          <w:szCs w:val="32"/>
          <w:lang w:val="en-US" w:eastAsia="zh-CN" w:bidi="ar-SA"/>
          <w14:ligatures w14:val="none"/>
        </w:rPr>
        <w:t>磁共振成像</w:t>
      </w:r>
    </w:p>
    <w:p w14:paraId="5E9F3E15">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w:t>
      </w:r>
      <w:r>
        <w:rPr>
          <w:rFonts w:hint="eastAsia" w:ascii="仿宋_GB2312" w:hAnsi="仿宋_GB2312" w:eastAsia="仿宋_GB2312" w:cs="仿宋_GB2312"/>
          <w:b/>
          <w:bCs/>
          <w:sz w:val="32"/>
          <w:szCs w:val="32"/>
        </w:rPr>
        <w:t>主要</w:t>
      </w:r>
      <w:r>
        <w:rPr>
          <w:rFonts w:hint="eastAsia" w:ascii="仿宋_GB2312" w:hAnsi="仿宋_GB2312" w:eastAsia="仿宋_GB2312" w:cs="仿宋_GB2312"/>
          <w:b/>
          <w:bCs/>
          <w:sz w:val="32"/>
          <w:szCs w:val="32"/>
          <w:lang w:val="en-US" w:eastAsia="zh-CN"/>
        </w:rPr>
        <w:t>研究</w:t>
      </w:r>
      <w:r>
        <w:rPr>
          <w:rFonts w:hint="eastAsia" w:ascii="仿宋_GB2312" w:hAnsi="仿宋_GB2312" w:eastAsia="仿宋_GB2312" w:cs="仿宋_GB2312"/>
          <w:b/>
          <w:bCs/>
          <w:sz w:val="32"/>
          <w:szCs w:val="32"/>
        </w:rPr>
        <w:t>内容</w:t>
      </w:r>
    </w:p>
    <w:p w14:paraId="47855AE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（一）围绕肝内胆管癌（iCCA），基于T2WI、DWI及多期增强MRI图像，构建肿瘤内部不同强化区域及瘤周侵袭区域的生境分区方法，建立标准化数据处理流程，提升影像异质性分析能力；</w:t>
      </w:r>
    </w:p>
    <w:p w14:paraId="4D0ECC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在多期增强MRI生境影像基础上，提取瘤内及瘤周多尺度影像组学特征，融合临床变量，构建病理亚型（小胆管型/大胆管型）及微血管侵犯（MVI）预测模型。通过内部与独立外部验证，评估模型准确性、稳定性及临床净获益；</w:t>
      </w:r>
    </w:p>
    <w:p w14:paraId="3AE540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（三）建立影像风险分层模型，评估其在术前风险评估及个体化治疗决策中的辅助价值，形成可推广的智能分析流程；</w:t>
      </w:r>
    </w:p>
    <w:p w14:paraId="650B6AA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（四）完成标准化影像采集与数据标注流程，验证模型稳定性和临床适用性，形成完整技术报告。</w:t>
      </w:r>
    </w:p>
    <w:p w14:paraId="6D8D3BA2">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w:t>
      </w:r>
      <w:r>
        <w:rPr>
          <w:rFonts w:hint="eastAsia" w:ascii="仿宋_GB2312" w:hAnsi="仿宋_GB2312" w:eastAsia="仿宋_GB2312" w:cs="仿宋_GB2312"/>
          <w:b/>
          <w:bCs/>
          <w:sz w:val="32"/>
          <w:szCs w:val="32"/>
        </w:rPr>
        <w:t>项目考核指标（项目执行期内）</w:t>
      </w:r>
    </w:p>
    <w:p w14:paraId="3C981C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396387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07802DB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1.收集并整理≥150例经病理证实的肝内胆管癌多参数MRI数据；</w:t>
      </w:r>
    </w:p>
    <w:p w14:paraId="70C909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2.建立一套MRI生境影像分析流程，并形成标准化操作方案；</w:t>
      </w:r>
    </w:p>
    <w:p w14:paraId="6B39AD9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3.构建病理亚型或侵袭表型预测模型，模型在验证集中的AUC≥0.80。</w:t>
      </w:r>
    </w:p>
    <w:p w14:paraId="72352D60">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四、</w:t>
      </w:r>
      <w:r>
        <w:rPr>
          <w:rFonts w:hint="eastAsia" w:ascii="仿宋_GB2312" w:hAnsi="仿宋_GB2312" w:eastAsia="仿宋_GB2312" w:cs="仿宋_GB2312"/>
          <w:b/>
          <w:bCs/>
          <w:sz w:val="32"/>
          <w:szCs w:val="32"/>
        </w:rPr>
        <w:t>项目实施期限：</w:t>
      </w:r>
      <w:r>
        <w:rPr>
          <w:rFonts w:hint="eastAsia" w:ascii="Times New Roman" w:hAnsi="Times New Roman" w:eastAsia="仿宋_GB2312" w:cs="Times New Roman"/>
          <w:kern w:val="2"/>
          <w:sz w:val="32"/>
          <w:szCs w:val="32"/>
          <w:lang w:val="en-US" w:eastAsia="zh-CN" w:bidi="ar-SA"/>
          <w14:ligatures w14:val="none"/>
        </w:rPr>
        <w:t>不超过2年</w:t>
      </w:r>
      <w:r>
        <w:rPr>
          <w:rFonts w:hint="eastAsia" w:ascii="仿宋_GB2312" w:hAnsi="仿宋_GB2312" w:eastAsia="仿宋_GB2312" w:cs="仿宋_GB2312"/>
          <w:sz w:val="32"/>
          <w:szCs w:val="32"/>
          <w:lang w:val="en-US" w:eastAsia="zh-CN"/>
        </w:rPr>
        <w:t xml:space="preserve">                    </w:t>
      </w:r>
    </w:p>
    <w:p w14:paraId="1DDE0E15">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五、</w:t>
      </w:r>
      <w:r>
        <w:rPr>
          <w:rFonts w:hint="eastAsia" w:ascii="仿宋_GB2312" w:hAnsi="仿宋_GB2312" w:eastAsia="仿宋_GB2312" w:cs="仿宋_GB2312"/>
          <w:b/>
          <w:bCs/>
          <w:sz w:val="32"/>
          <w:szCs w:val="32"/>
        </w:rPr>
        <w:t>资助金额：</w:t>
      </w:r>
      <w:r>
        <w:rPr>
          <w:rFonts w:hint="eastAsia" w:ascii="Times New Roman" w:hAnsi="Times New Roman" w:eastAsia="仿宋_GB2312" w:cs="Times New Roman"/>
          <w:kern w:val="2"/>
          <w:sz w:val="32"/>
          <w:szCs w:val="32"/>
          <w:lang w:val="en-US" w:eastAsia="zh-CN" w:bidi="ar-SA"/>
          <w14:ligatures w14:val="none"/>
        </w:rPr>
        <w:t>不超过20万元</w:t>
      </w:r>
    </w:p>
    <w:p w14:paraId="795AE78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5060E6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0B64B9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7158E2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AFBE3D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B38267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9A3DF4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8C39D0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085854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E16AD4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E0CCF8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CF4907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56AF74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4B25F8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0D5CF9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056208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61BB4F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0BB336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841CE1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B1BA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4F99E21">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0"/>
        <w:rPr>
          <w:rFonts w:hint="eastAsia" w:ascii="方正小标宋简体" w:hAnsi="方正小标宋简体" w:eastAsia="方正小标宋简体" w:cs="方正小标宋简体"/>
          <w:bCs/>
          <w:sz w:val="44"/>
          <w:szCs w:val="44"/>
          <w:lang w:val="en-US" w:eastAsia="zh-CN"/>
          <w14:ligatures w14:val="none"/>
        </w:rPr>
      </w:pPr>
      <w:r>
        <w:rPr>
          <w:rFonts w:hint="eastAsia" w:ascii="方正小标宋简体" w:hAnsi="方正小标宋简体" w:eastAsia="方正小标宋简体" w:cs="方正小标宋简体"/>
          <w:bCs/>
          <w:sz w:val="44"/>
          <w:szCs w:val="44"/>
          <w:lang w:val="en-US" w:eastAsia="zh-CN"/>
          <w14:ligatures w14:val="none"/>
        </w:rPr>
        <w:t>面202604026 血管内治疗后PWI衍生的氧代谢与灌注指标预测缺血性脑卒中病灶和临床转归的研究</w:t>
      </w:r>
    </w:p>
    <w:p w14:paraId="3882076A">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kern w:val="2"/>
          <w:sz w:val="32"/>
          <w:szCs w:val="36"/>
          <w:lang w:val="en-US" w:eastAsia="zh-CN" w:bidi="ar-SA"/>
        </w:rPr>
      </w:pPr>
      <w:r>
        <w:rPr>
          <w:rFonts w:hint="eastAsia" w:ascii="仿宋_GB2312" w:hAnsi="仿宋_GB2312" w:eastAsia="仿宋_GB2312" w:cs="仿宋_GB2312"/>
          <w:b/>
          <w:bCs/>
          <w:kern w:val="2"/>
          <w:sz w:val="32"/>
          <w:szCs w:val="36"/>
          <w:lang w:val="en-US" w:eastAsia="zh-CN" w:bidi="ar-SA"/>
        </w:rPr>
        <w:t>一、领域：</w:t>
      </w:r>
      <w:r>
        <w:rPr>
          <w:rFonts w:hint="eastAsia" w:ascii="Times New Roman" w:hAnsi="Times New Roman" w:eastAsia="仿宋_GB2312" w:cs="Times New Roman"/>
          <w:sz w:val="32"/>
          <w:szCs w:val="32"/>
          <w:lang w:val="en-US" w:eastAsia="zh-CN"/>
          <w14:ligatures w14:val="none"/>
        </w:rPr>
        <w:t>磁共振成像</w:t>
      </w:r>
    </w:p>
    <w:p w14:paraId="1D57EA5A">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b/>
          <w:bCs/>
          <w:kern w:val="2"/>
          <w:sz w:val="32"/>
          <w:szCs w:val="36"/>
          <w:lang w:val="en-US" w:eastAsia="zh-CN" w:bidi="ar-SA"/>
        </w:rPr>
      </w:pPr>
      <w:r>
        <w:rPr>
          <w:rFonts w:hint="eastAsia" w:ascii="仿宋_GB2312" w:hAnsi="仿宋_GB2312" w:eastAsia="仿宋_GB2312" w:cs="仿宋_GB2312"/>
          <w:b/>
          <w:bCs/>
          <w:kern w:val="2"/>
          <w:sz w:val="32"/>
          <w:szCs w:val="36"/>
          <w:lang w:val="en-US" w:eastAsia="zh-CN" w:bidi="ar-SA"/>
        </w:rPr>
        <w:t>二、主要研究内容</w:t>
      </w:r>
    </w:p>
    <w:p w14:paraId="1E6C005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（一）建立接受血管内治疗的急性缺血性脑卒中患者队列并规律随访；基于3.0T磁共振对队列进行治疗后急性期（术后2—7天）PWI评估；论证基于PWI同时评估缺血脑组织灌注和氧代谢改变的可行性；</w:t>
      </w:r>
    </w:p>
    <w:p w14:paraId="15C43F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 xml:space="preserve">（二）基于治疗后PWI评估缺血脑组织灌注和氧代谢改变，评估灌注和氧代谢改变与组织转归的关联性； </w:t>
      </w:r>
    </w:p>
    <w:p w14:paraId="2671660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（三）以临床转归为终点，采用机器学习方法整合急性缺血性脑卒中患者队列血管内治疗前后临床影像数据构建预测模型并验证；突出治疗后PWI衍生的灌注和氧代谢指标给模型带来的增益价值。</w:t>
      </w:r>
    </w:p>
    <w:p w14:paraId="12796D06">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b/>
          <w:bCs/>
          <w:kern w:val="2"/>
          <w:sz w:val="32"/>
          <w:szCs w:val="36"/>
          <w:lang w:val="en-US" w:eastAsia="zh-CN" w:bidi="ar-SA"/>
        </w:rPr>
      </w:pPr>
      <w:r>
        <w:rPr>
          <w:rFonts w:hint="eastAsia" w:ascii="仿宋_GB2312" w:hAnsi="仿宋_GB2312" w:eastAsia="仿宋_GB2312" w:cs="仿宋_GB2312"/>
          <w:b/>
          <w:bCs/>
          <w:kern w:val="2"/>
          <w:sz w:val="32"/>
          <w:szCs w:val="36"/>
          <w:lang w:val="en-US" w:eastAsia="zh-CN" w:bidi="ar-SA"/>
        </w:rPr>
        <w:t>三、项目考核指标（项目执行期内）</w:t>
      </w:r>
    </w:p>
    <w:p w14:paraId="29F48A8E">
      <w:pPr>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（一）学</w:t>
      </w:r>
      <w:r>
        <w:rPr>
          <w:rFonts w:hint="eastAsia" w:ascii="Times New Roman" w:hAnsi="Times New Roman" w:eastAsia="仿宋_GB2312" w:cs="Times New Roman"/>
          <w:sz w:val="32"/>
          <w:szCs w:val="22"/>
          <w:lang w:val="en-US" w:eastAsia="zh-CN"/>
          <w14:ligatures w14:val="none"/>
        </w:rPr>
        <w:t>术指标：发表学术论文≥1篇。</w:t>
      </w:r>
    </w:p>
    <w:p w14:paraId="4F66F895">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firstLine="640" w:firstLineChars="200"/>
        <w:jc w:val="both"/>
        <w:textAlignment w:val="auto"/>
        <w:rPr>
          <w:rFonts w:hint="eastAsia" w:ascii="仿宋_GB2312" w:hAnsi="仿宋_GB2312" w:eastAsia="仿宋_GB2312" w:cs="仿宋_GB2312"/>
          <w:b/>
          <w:bCs/>
          <w:kern w:val="2"/>
          <w:sz w:val="32"/>
          <w:szCs w:val="36"/>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Times New Roman" w:hAnsi="Times New Roman" w:eastAsia="仿宋_GB2312" w:cs="Times New Roman"/>
          <w:sz w:val="32"/>
          <w:szCs w:val="22"/>
          <w:lang w:val="en-US" w:eastAsia="zh-CN"/>
          <w14:ligatures w14:val="none"/>
        </w:rPr>
        <w:t>技术指标：</w:t>
      </w:r>
    </w:p>
    <w:p w14:paraId="68BB4256">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sz w:val="32"/>
          <w:szCs w:val="22"/>
          <w:lang w:val="en-US" w:eastAsia="zh-CN"/>
          <w14:ligatures w14:val="none"/>
        </w:rPr>
      </w:pPr>
      <w:r>
        <w:rPr>
          <w:rFonts w:hint="eastAsia" w:ascii="仿宋_GB2312" w:hAnsi="仿宋_GB2312" w:eastAsia="仿宋_GB2312" w:cs="仿宋_GB2312"/>
          <w:kern w:val="2"/>
          <w:sz w:val="32"/>
          <w:szCs w:val="32"/>
          <w:lang w:val="en-US" w:eastAsia="zh-CN" w:bidi="ar-SA"/>
        </w:rPr>
        <w:t>1.</w:t>
      </w:r>
      <w:r>
        <w:rPr>
          <w:rFonts w:hint="eastAsia" w:ascii="Times New Roman" w:hAnsi="Times New Roman" w:eastAsia="仿宋_GB2312" w:cs="Times New Roman"/>
          <w:sz w:val="32"/>
          <w:szCs w:val="22"/>
          <w:lang w:val="en-US" w:eastAsia="zh-CN"/>
          <w14:ligatures w14:val="none"/>
        </w:rPr>
        <w:t>收集≥100例急性缺血性脑卒中病例，并完成血管内治疗后PWI检查；</w:t>
      </w:r>
    </w:p>
    <w:p w14:paraId="4676D2DE">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sz w:val="32"/>
          <w:szCs w:val="22"/>
          <w:lang w:val="en-US" w:eastAsia="zh-CN"/>
          <w14:ligatures w14:val="none"/>
        </w:rPr>
      </w:pPr>
      <w:r>
        <w:rPr>
          <w:rFonts w:hint="eastAsia" w:ascii="Times New Roman" w:hAnsi="Times New Roman" w:eastAsia="仿宋_GB2312" w:cs="Times New Roman"/>
          <w:sz w:val="32"/>
          <w:szCs w:val="22"/>
          <w:lang w:val="en-US" w:eastAsia="zh-CN"/>
          <w14:ligatures w14:val="none"/>
        </w:rPr>
        <w:t>2.建立基于PWI获取脑组织氧代谢和灌注指标的后处理方案和流程；</w:t>
      </w:r>
    </w:p>
    <w:p w14:paraId="06901169">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sz w:val="32"/>
          <w:szCs w:val="22"/>
          <w:lang w:val="en-US" w:eastAsia="zh-CN"/>
          <w14:ligatures w14:val="none"/>
        </w:rPr>
      </w:pPr>
      <w:r>
        <w:rPr>
          <w:rFonts w:hint="eastAsia" w:ascii="Times New Roman" w:hAnsi="Times New Roman" w:eastAsia="仿宋_GB2312" w:cs="Times New Roman"/>
          <w:sz w:val="32"/>
          <w:szCs w:val="22"/>
          <w:lang w:val="en-US" w:eastAsia="zh-CN"/>
          <w14:ligatures w14:val="none"/>
        </w:rPr>
        <w:t>3.获得基于PWI衍生的氧代谢和灌注指标与缺血性脑卒中病灶和临床转归相关的理论依据并形成≥1份项目评估报告。</w:t>
      </w:r>
    </w:p>
    <w:p w14:paraId="2D29A61B">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kern w:val="2"/>
          <w:sz w:val="32"/>
          <w:szCs w:val="36"/>
          <w:lang w:val="en-US" w:eastAsia="zh-CN" w:bidi="ar-SA"/>
        </w:rPr>
      </w:pPr>
      <w:r>
        <w:rPr>
          <w:rFonts w:hint="eastAsia" w:ascii="仿宋_GB2312" w:hAnsi="仿宋_GB2312" w:eastAsia="仿宋_GB2312" w:cs="仿宋_GB2312"/>
          <w:b/>
          <w:bCs/>
          <w:kern w:val="2"/>
          <w:sz w:val="32"/>
          <w:szCs w:val="32"/>
          <w:lang w:val="en-US" w:eastAsia="zh-CN" w:bidi="ar-SA"/>
        </w:rPr>
        <w:t>四、项目实施年限：</w:t>
      </w:r>
      <w:r>
        <w:rPr>
          <w:rFonts w:hint="eastAsia" w:ascii="Times New Roman" w:hAnsi="Times New Roman" w:eastAsia="仿宋_GB2312" w:cs="Times New Roman"/>
          <w:sz w:val="32"/>
          <w:szCs w:val="22"/>
          <w:lang w:val="en-US" w:eastAsia="zh-CN"/>
          <w14:ligatures w14:val="none"/>
        </w:rPr>
        <w:t>不超过2年</w:t>
      </w:r>
    </w:p>
    <w:p w14:paraId="5CB26FF3">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五、</w:t>
      </w:r>
      <w:r>
        <w:rPr>
          <w:rFonts w:hint="eastAsia" w:ascii="仿宋_GB2312" w:hAnsi="仿宋_GB2312" w:eastAsia="仿宋_GB2312" w:cs="仿宋_GB2312"/>
          <w:b/>
          <w:bCs/>
          <w:kern w:val="2"/>
          <w:sz w:val="32"/>
          <w:szCs w:val="36"/>
          <w:lang w:val="en-US" w:eastAsia="zh-CN" w:bidi="ar-SA"/>
        </w:rPr>
        <w:t>资助金额：</w:t>
      </w:r>
      <w:r>
        <w:rPr>
          <w:rFonts w:hint="eastAsia" w:ascii="Times New Roman" w:hAnsi="Times New Roman" w:eastAsia="仿宋_GB2312" w:cs="Times New Roman"/>
          <w:sz w:val="32"/>
          <w:szCs w:val="22"/>
          <w:lang w:val="en-US" w:eastAsia="zh-CN"/>
          <w14:ligatures w14:val="none"/>
        </w:rPr>
        <w:t>不超过20万元</w:t>
      </w:r>
    </w:p>
    <w:p w14:paraId="3A68D3C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FFCB6C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DC67C6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B0B6E8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930814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1948BD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69B7D3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E35588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1067E1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D02BA6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1354EE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7535AA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9B7455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0FDDEA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594EDE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8AF609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B5F5C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7C289F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4C95E1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110263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F53887E">
      <w:pPr>
        <w:keepNext w:val="0"/>
        <w:keepLines w:val="0"/>
        <w:pageBreakBefore w:val="0"/>
        <w:kinsoku/>
        <w:wordWrap/>
        <w:overflowPunct/>
        <w:topLinePunct w:val="0"/>
        <w:autoSpaceDE/>
        <w:autoSpaceDN/>
        <w:bidi w:val="0"/>
        <w:spacing w:after="0" w:line="560" w:lineRule="exact"/>
        <w:jc w:val="center"/>
        <w:textAlignment w:val="auto"/>
        <w:rPr>
          <w:rFonts w:hint="eastAsia" w:ascii="方正小标宋简体" w:hAnsi="方正小标宋简体" w:eastAsia="方正小标宋简体" w:cs="Times New Roman"/>
          <w:color w:val="000000"/>
          <w:sz w:val="44"/>
          <w:szCs w:val="22"/>
          <w14:ligatures w14:val="none"/>
        </w:rPr>
      </w:pPr>
      <w:r>
        <w:rPr>
          <w:rFonts w:hint="eastAsia" w:ascii="方正小标宋简体" w:hAnsi="方正小标宋简体" w:eastAsia="方正小标宋简体" w:cs="方正小标宋简体"/>
          <w:bCs/>
          <w:sz w:val="44"/>
          <w:szCs w:val="44"/>
          <w:lang w:val="en-US" w:eastAsia="zh-CN"/>
          <w14:ligatures w14:val="none"/>
        </w:rPr>
        <w:t xml:space="preserve">面202604027 </w:t>
      </w:r>
      <w:r>
        <w:rPr>
          <w:rFonts w:hint="eastAsia" w:ascii="方正小标宋简体" w:hAnsi="方正小标宋简体" w:eastAsia="方正小标宋简体" w:cs="Times New Roman"/>
          <w:color w:val="000000"/>
          <w:sz w:val="44"/>
          <w:szCs w:val="22"/>
          <w14:ligatures w14:val="none"/>
        </w:rPr>
        <w:t>肝包虫病术前精准诊疗的影像分析方法研究</w:t>
      </w:r>
    </w:p>
    <w:p w14:paraId="69FCDF2C">
      <w:pPr>
        <w:keepNext w:val="0"/>
        <w:keepLines w:val="0"/>
        <w:pageBreakBefore w:val="0"/>
        <w:numPr>
          <w:ilvl w:val="0"/>
          <w:numId w:val="0"/>
        </w:numPr>
        <w:kinsoku/>
        <w:wordWrap/>
        <w:overflowPunct/>
        <w:topLinePunct w:val="0"/>
        <w:autoSpaceDE/>
        <w:autoSpaceDN/>
        <w:bidi w:val="0"/>
        <w:spacing w:after="0" w:line="560" w:lineRule="exact"/>
        <w:ind w:left="0" w:leftChars="0" w:firstLine="0" w:firstLineChars="0"/>
        <w:jc w:val="both"/>
        <w:textAlignment w:val="auto"/>
        <w:rPr>
          <w:rFonts w:hint="eastAsia" w:ascii="仿宋_GB2312" w:hAnsi="仿宋_GB2312" w:eastAsia="仿宋_GB2312" w:cs="仿宋_GB2312"/>
          <w:sz w:val="32"/>
          <w:szCs w:val="22"/>
          <w:lang w:val="en-US" w:eastAsia="zh-CN"/>
          <w14:ligatures w14:val="none"/>
        </w:rPr>
      </w:pPr>
      <w:r>
        <w:rPr>
          <w:rFonts w:hint="eastAsia" w:ascii="仿宋_GB2312" w:hAnsi="仿宋_GB2312" w:eastAsia="仿宋_GB2312" w:cs="仿宋_GB2312"/>
          <w:kern w:val="2"/>
          <w:sz w:val="32"/>
          <w:szCs w:val="22"/>
          <w:lang w:val="en-US" w:eastAsia="zh-CN" w:bidi="ar-SA"/>
          <w14:ligatures w14:val="none"/>
        </w:rPr>
        <w:t>一、</w:t>
      </w:r>
      <w:r>
        <w:rPr>
          <w:rFonts w:hint="eastAsia" w:ascii="仿宋_GB2312" w:hAnsi="仿宋_GB2312" w:eastAsia="仿宋_GB2312" w:cs="仿宋_GB2312"/>
          <w:b/>
          <w:bCs/>
          <w:sz w:val="32"/>
          <w:szCs w:val="22"/>
          <w14:ligatures w14:val="none"/>
        </w:rPr>
        <w:t>领域：</w:t>
      </w:r>
      <w:r>
        <w:rPr>
          <w:rFonts w:hint="eastAsia" w:ascii="仿宋_GB2312" w:hAnsi="仿宋_GB2312" w:eastAsia="仿宋_GB2312" w:cs="仿宋_GB2312"/>
          <w:sz w:val="32"/>
          <w:szCs w:val="22"/>
          <w:lang w:val="en-US" w:eastAsia="zh-CN"/>
          <w14:ligatures w14:val="none"/>
        </w:rPr>
        <w:t>医学影像</w:t>
      </w:r>
    </w:p>
    <w:p w14:paraId="73E563B5">
      <w:pPr>
        <w:keepNext w:val="0"/>
        <w:keepLines w:val="0"/>
        <w:pageBreakBefore w:val="0"/>
        <w:numPr>
          <w:ilvl w:val="0"/>
          <w:numId w:val="0"/>
        </w:numPr>
        <w:kinsoku/>
        <w:wordWrap/>
        <w:overflowPunct/>
        <w:topLinePunct w:val="0"/>
        <w:autoSpaceDE/>
        <w:autoSpaceDN/>
        <w:bidi w:val="0"/>
        <w:spacing w:after="0" w:line="560" w:lineRule="exact"/>
        <w:jc w:val="both"/>
        <w:textAlignment w:val="auto"/>
        <w:rPr>
          <w:rFonts w:ascii="仿宋_GB2312" w:hAnsi="仿宋_GB2312" w:eastAsia="仿宋_GB2312" w:cs="仿宋_GB2312"/>
          <w:b/>
          <w:bCs/>
          <w:sz w:val="32"/>
          <w:szCs w:val="22"/>
          <w14:ligatures w14:val="none"/>
        </w:rPr>
      </w:pPr>
      <w:r>
        <w:rPr>
          <w:rFonts w:ascii="仿宋_GB2312" w:hAnsi="仿宋_GB2312" w:eastAsia="仿宋_GB2312" w:cs="仿宋_GB2312"/>
          <w:b/>
          <w:bCs/>
          <w:sz w:val="32"/>
          <w:szCs w:val="22"/>
          <w14:ligatures w14:val="none"/>
        </w:rPr>
        <w:t>二、</w:t>
      </w:r>
      <w:r>
        <w:rPr>
          <w:rFonts w:hint="eastAsia" w:ascii="仿宋_GB2312" w:hAnsi="仿宋_GB2312" w:eastAsia="仿宋_GB2312" w:cs="仿宋_GB2312"/>
          <w:b/>
          <w:bCs/>
          <w:sz w:val="32"/>
          <w:szCs w:val="22"/>
          <w14:ligatures w14:val="none"/>
        </w:rPr>
        <w:t>主要</w:t>
      </w:r>
      <w:r>
        <w:rPr>
          <w:rFonts w:hint="eastAsia" w:ascii="仿宋_GB2312" w:hAnsi="仿宋_GB2312" w:eastAsia="仿宋_GB2312" w:cs="仿宋_GB2312"/>
          <w:b/>
          <w:bCs/>
          <w:sz w:val="32"/>
          <w:szCs w:val="22"/>
          <w:lang w:val="en-US" w:eastAsia="zh-CN"/>
          <w14:ligatures w14:val="none"/>
        </w:rPr>
        <w:t>研究</w:t>
      </w:r>
      <w:r>
        <w:rPr>
          <w:rFonts w:hint="eastAsia" w:ascii="仿宋_GB2312" w:hAnsi="仿宋_GB2312" w:eastAsia="仿宋_GB2312" w:cs="仿宋_GB2312"/>
          <w:b/>
          <w:bCs/>
          <w:sz w:val="32"/>
          <w:szCs w:val="22"/>
          <w14:ligatures w14:val="none"/>
        </w:rPr>
        <w:t>内容：</w:t>
      </w:r>
    </w:p>
    <w:p w14:paraId="0746FB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（一）围绕肝包虫病增强CT影像中病灶压迫、移位及局部解剖紊乱等特点，建立标准化影像数据库与标注质控流程，为后续模型训练和临床验证提供可靠数据基础；</w:t>
      </w:r>
    </w:p>
    <w:p w14:paraId="3B6F99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（二）面向肝内门静脉、肝静脉、肝动脉及胆管等关键结构，构建多任务学习模型，实现复杂背景下多类管道结构的联合识别与精细分割，提高整体分割精度和稳定性；</w:t>
      </w:r>
    </w:p>
    <w:p w14:paraId="013AE7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（三）针对细小分支易漏检、连通性易受破坏等问题，建立拓扑约束与结构保持方法，改善分割结果的连续性、完整性及解剖一致性；</w:t>
      </w:r>
    </w:p>
    <w:p w14:paraId="61CC38E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（四）结合Glisson鞘相关解剖先验，利用图神经网络对初始结果进行结构校正，提升胆管识别效果，减少邻近血管混淆、局部断裂及错分现象；</w:t>
      </w:r>
    </w:p>
    <w:p w14:paraId="4E6932E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（五）在上述研究基础上，完成肝内重要管道与病灶的三维可视化重建，形成面向术前评估的原型系统，并开展临床应用验证。</w:t>
      </w:r>
    </w:p>
    <w:p w14:paraId="6C2BE0F6">
      <w:pPr>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三、项目考核指标（项目执行期内）</w:t>
      </w:r>
    </w:p>
    <w:p w14:paraId="02EC73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（一）学术指标：发表学术论文≥1篇，申请专利或软件著作≥1项。</w:t>
      </w:r>
    </w:p>
    <w:p w14:paraId="23BCF7E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6084CE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1.建立适用于肝包虫病增强CT的多结构智能分析方法，完成肝内主要血管及胆管的自动化识别；</w:t>
      </w:r>
    </w:p>
    <w:p w14:paraId="4D799B0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2.构建三维可视化与术前辅助评估原型系统，完成初步临床验证并形成技术评估资料，并形成≥1份项目评估报告。</w:t>
      </w:r>
    </w:p>
    <w:p w14:paraId="56B812AC">
      <w:pPr>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四、项目实施期限：</w:t>
      </w:r>
      <w:r>
        <w:rPr>
          <w:rFonts w:hint="eastAsia" w:ascii="仿宋_GB2312" w:hAnsi="仿宋_GB2312" w:eastAsia="仿宋_GB2312" w:cs="仿宋_GB2312"/>
          <w:sz w:val="32"/>
          <w:szCs w:val="22"/>
          <w14:ligatures w14:val="none"/>
        </w:rPr>
        <w:t>不</w:t>
      </w:r>
      <w:r>
        <w:rPr>
          <w:rFonts w:hint="eastAsia" w:ascii="Times New Roman" w:hAnsi="Times New Roman" w:eastAsia="仿宋_GB2312" w:cs="Times New Roman"/>
          <w:sz w:val="32"/>
          <w:szCs w:val="22"/>
          <w14:ligatures w14:val="none"/>
        </w:rPr>
        <w:t>超过2年</w:t>
      </w:r>
    </w:p>
    <w:p w14:paraId="2C769654">
      <w:pPr>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五、资助资金：</w:t>
      </w:r>
      <w:r>
        <w:rPr>
          <w:rFonts w:hint="eastAsia" w:ascii="仿宋_GB2312" w:hAnsi="仿宋_GB2312" w:eastAsia="仿宋_GB2312" w:cs="仿宋_GB2312"/>
          <w:sz w:val="32"/>
          <w:szCs w:val="22"/>
          <w14:ligatures w14:val="none"/>
        </w:rPr>
        <w:t>不</w:t>
      </w:r>
      <w:r>
        <w:rPr>
          <w:rFonts w:hint="eastAsia" w:ascii="Times New Roman" w:hAnsi="Times New Roman" w:eastAsia="仿宋_GB2312" w:cs="Times New Roman"/>
          <w:sz w:val="32"/>
          <w:szCs w:val="22"/>
          <w14:ligatures w14:val="none"/>
        </w:rPr>
        <w:t>超过20万元</w:t>
      </w:r>
    </w:p>
    <w:p w14:paraId="5EAACD63">
      <w:pPr>
        <w:keepNext w:val="0"/>
        <w:keepLines w:val="0"/>
        <w:pageBreakBefore w:val="0"/>
        <w:widowControl w:val="0"/>
        <w:kinsoku/>
        <w:wordWrap/>
        <w:overflowPunct/>
        <w:topLinePunct w:val="0"/>
        <w:autoSpaceDE/>
        <w:autoSpaceDN/>
        <w:bidi w:val="0"/>
        <w:spacing w:before="0" w:line="560" w:lineRule="exact"/>
        <w:ind w:right="19" w:firstLine="622" w:firstLineChars="200"/>
        <w:jc w:val="center"/>
        <w:textAlignment w:val="auto"/>
        <w:rPr>
          <w:rFonts w:ascii="仿宋_GB2312" w:hAnsi="仿宋_GB2312" w:eastAsia="仿宋" w:cs="仿宋_GB2312"/>
          <w:b/>
          <w:bCs/>
          <w:kern w:val="2"/>
          <w:sz w:val="31"/>
          <w:szCs w:val="31"/>
          <w:lang w:val="en-US" w:eastAsia="zh-CN" w:bidi="ar-SA"/>
        </w:rPr>
      </w:pPr>
    </w:p>
    <w:p w14:paraId="237C815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4E15145D-E25A-46B9-BA60-23235A180636}"/>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79497C43-C5B8-4B38-8D54-8ABFCDCCD4C8}"/>
  </w:font>
  <w:font w:name="方正小标宋_GBK">
    <w:panose1 w:val="02000000000000000000"/>
    <w:charset w:val="86"/>
    <w:family w:val="script"/>
    <w:pitch w:val="default"/>
    <w:sig w:usb0="A00002BF" w:usb1="38CF7CFA" w:usb2="00082016" w:usb3="00000000" w:csb0="00040001" w:csb1="00000000"/>
    <w:embedRegular r:id="rId3" w:fontKey="{E7F94ECF-3898-4B73-8A79-D15C954C0A1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EF"/>
    <w:rsid w:val="000C7CE5"/>
    <w:rsid w:val="00443C3B"/>
    <w:rsid w:val="004B71C2"/>
    <w:rsid w:val="00880CD9"/>
    <w:rsid w:val="00954CB6"/>
    <w:rsid w:val="009D070F"/>
    <w:rsid w:val="00AF5EF7"/>
    <w:rsid w:val="00BB3CEF"/>
    <w:rsid w:val="00DD6BFE"/>
    <w:rsid w:val="20294F6D"/>
    <w:rsid w:val="2D47785A"/>
    <w:rsid w:val="33EC79A6"/>
    <w:rsid w:val="5326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4"/>
    <w:qFormat/>
    <w:uiPriority w:val="0"/>
    <w:pPr>
      <w:spacing w:after="0" w:line="560" w:lineRule="exact"/>
      <w:ind w:firstLine="200" w:firstLineChars="200"/>
      <w:jc w:val="both"/>
    </w:pPr>
    <w:rPr>
      <w:rFonts w:ascii="仿宋" w:hAnsi="仿宋" w:eastAsia="仿宋" w:cs="仿宋"/>
      <w:sz w:val="31"/>
      <w:szCs w:val="3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 字符"/>
    <w:basedOn w:val="15"/>
    <w:link w:val="11"/>
    <w:qFormat/>
    <w:uiPriority w:val="0"/>
    <w:rPr>
      <w:rFonts w:ascii="仿宋" w:hAnsi="仿宋" w:eastAsia="仿宋" w:cs="仿宋"/>
      <w:sz w:val="31"/>
      <w:szCs w:val="31"/>
      <w14:ligatures w14:val="none"/>
    </w:rPr>
  </w:style>
  <w:style w:type="paragraph" w:customStyle="1" w:styleId="35">
    <w:name w:val="正文1"/>
    <w:basedOn w:val="1"/>
    <w:qFormat/>
    <w:uiPriority w:val="0"/>
    <w:pPr>
      <w:widowControl/>
      <w:shd w:val="clear" w:color="auto" w:fill="FFFFFF"/>
      <w:spacing w:line="360" w:lineRule="auto"/>
    </w:pPr>
    <w:rPr>
      <w:rFonts w:ascii="宋体" w:hAnsi="宋体" w:eastAsia="宋体" w:cs="宋体"/>
      <w:bCs/>
      <w:color w:val="404040"/>
      <w:kern w:val="0"/>
      <w:sz w:val="24"/>
      <w:szCs w:val="24"/>
    </w:rPr>
  </w:style>
  <w:style w:type="paragraph" w:customStyle="1" w:styleId="36">
    <w:name w:val="二级标题"/>
    <w:basedOn w:val="1"/>
    <w:qFormat/>
    <w:uiPriority w:val="0"/>
    <w:pPr>
      <w:spacing w:line="360" w:lineRule="auto"/>
      <w:ind w:firstLine="361" w:firstLineChars="150"/>
      <w:outlineLvl w:val="1"/>
    </w:pPr>
    <w:rPr>
      <w:rFonts w:eastAsia="宋体" w:cs="Times New Roman"/>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7eb9b65b-0322-4d74-bb04-75dfc068d9dd</errorID>
      <errorWord>（&gt;</errorWord>
      <group>L1_Punc</group>
      <groupName>标点问题</groupName>
      <ability>L2_Punc</ability>
      <abilityName>标点符号检查</abilityName>
      <candidateList>
        <item>（</item>
      </candidateList>
      <explain/>
      <paraID>2993E56D</paraID>
      <start>36</start>
      <end>38</end>
      <status>unmodified</status>
      <modifiedWord/>
      <trackRevisions>false</trackRevisions>
    </reviewItem>
    <reviewItem>
      <errorID>59eaaa70-7a1a-4c49-bbed-81f0ad99fcab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1E6C0059</paraID>
      <start>55</start>
      <end>56</end>
      <status>modified</status>
      <modifiedWord>—</modifiedWord>
      <trackRevisions>false</trackRevisions>
    </reviewItem>
    <reviewItem>
      <errorID>a6f63bc2-f241-4ed4-94de-3dbdb5923af3</errorID>
      <errorWord>-</errorWord>
      <group>L1_Format</group>
      <groupName>格式问题</groupName>
      <ability>L2_HalfPunc</ability>
      <abilityName>全半角检查</abilityName>
      <candidateList>
        <item>－</item>
      </candidateList>
      <explain>文本全半角错误。</explain>
      <paraID>26716604</paraID>
      <start>43</start>
      <end>44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e964f2b-cdf6-4a26-9475-86b10bcb7230}">
  <ds:schemaRefs/>
</ds:datastoreItem>
</file>

<file path=docProps/app.xml><?xml version="1.0" encoding="utf-8"?>
<Properties xmlns="http://schemas.openxmlformats.org/officeDocument/2006/extended-properties" xmlns:vt="http://schemas.openxmlformats.org/officeDocument/2006/docPropsVTypes">
  <Template>Normal</Template>
  <Pages>23</Pages>
  <Words>6349</Words>
  <Characters>6762</Characters>
  <Lines>475</Lines>
  <Paragraphs>196</Paragraphs>
  <TotalTime>36</TotalTime>
  <ScaleCrop>false</ScaleCrop>
  <LinksUpToDate>false</LinksUpToDate>
  <CharactersWithSpaces>6800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2025-11-28T06:41:00Z</dcterms:created>
  <dc:creator>锦鸿 张</dc:creator>
  <cp:lastModifiedBy>Elfinsword、</cp:lastModifiedBy>
  <dcterms:modified xsi:type="dcterms:W3CDTF">2026-04-18T02:47:56Z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eyJoZGlkIjoiNDQzMzQwMmVhMDMxNmMxOTI4ZWZjYWVhYmU0ZjQyNDgiLCJ1c2VySWQiOiIzNTE1MjMxMzUifQ==</vt:lpwstr>
  </property>
  <property fmtid="{D5CDD505-2E9C-101B-9397-08002B2CF9AE}" pid="3" name="KSOProductBuildVer">
    <vt:lpwstr>2052-12.1.0.25225</vt:lpwstr>
  </property>
  <property fmtid="{D5CDD505-2E9C-101B-9397-08002B2CF9AE}" pid="4" name="ICV">
    <vt:lpwstr>F86765ED691A4F17A872B999A49EADE6_13</vt:lpwstr>
  </property>
</Properties>
</file>