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083A3">
      <w:pPr>
        <w:autoSpaceDE/>
        <w:autoSpaceDN/>
        <w:spacing w:line="560" w:lineRule="exact"/>
        <w:ind w:right="248"/>
        <w:jc w:val="center"/>
        <w:outlineLvl w:val="0"/>
        <w:rPr>
          <w:rFonts w:ascii="方正小标宋简体" w:hAnsi="方正小标宋简体" w:eastAsia="方正小标宋简体" w:cs="方正小标宋简体"/>
          <w:spacing w:val="19"/>
          <w:sz w:val="44"/>
          <w:szCs w:val="44"/>
          <w:highlight w:val="none"/>
          <w:lang w:eastAsia="zh-CN"/>
        </w:rPr>
      </w:pPr>
      <w:r>
        <w:rPr>
          <w:rFonts w:hint="eastAsia" w:ascii="方正小标宋简体" w:hAnsi="方正小标宋简体" w:eastAsia="方正小标宋简体" w:cs="方正小标宋简体"/>
          <w:spacing w:val="19"/>
          <w:sz w:val="44"/>
          <w:szCs w:val="44"/>
          <w:highlight w:val="none"/>
          <w:lang w:eastAsia="zh-CN"/>
        </w:rPr>
        <w:t>临床检验新技术创新基金（第三批）项目</w:t>
      </w:r>
    </w:p>
    <w:p w14:paraId="60B75221">
      <w:pPr>
        <w:autoSpaceDE/>
        <w:autoSpaceDN/>
        <w:spacing w:after="360" w:afterLines="150" w:line="560" w:lineRule="exact"/>
        <w:ind w:left="3323" w:right="249" w:hanging="3130"/>
        <w:jc w:val="center"/>
        <w:outlineLvl w:val="0"/>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pacing w:val="-6"/>
          <w:sz w:val="44"/>
          <w:szCs w:val="44"/>
          <w:highlight w:val="none"/>
          <w:lang w:eastAsia="zh-CN"/>
        </w:rPr>
        <w:t>课题指南</w:t>
      </w:r>
    </w:p>
    <w:p w14:paraId="4F2C3DAE">
      <w:pPr>
        <w:pStyle w:val="3"/>
        <w:spacing w:before="120" w:line="560" w:lineRule="exact"/>
        <w:ind w:right="17"/>
        <w:jc w:val="center"/>
        <w:rPr>
          <w:rFonts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w:t>
      </w:r>
      <w:r>
        <w:rPr>
          <w:rFonts w:hint="eastAsia" w:ascii="黑体" w:hAnsi="黑体" w:eastAsia="黑体" w:cs="黑体"/>
          <w:b/>
          <w:bCs/>
          <w:spacing w:val="8"/>
          <w:sz w:val="32"/>
          <w:szCs w:val="32"/>
          <w:highlight w:val="none"/>
          <w:lang w:eastAsia="zh-CN"/>
        </w:rPr>
        <w:t>001 高通量核酸快检系统在儿童门急诊应用规范化多中心研究</w:t>
      </w:r>
    </w:p>
    <w:p w14:paraId="50488BB9">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bCs/>
          <w:spacing w:val="8"/>
          <w:sz w:val="32"/>
          <w:szCs w:val="32"/>
          <w:highlight w:val="none"/>
          <w:lang w:eastAsia="zh-CN"/>
        </w:rPr>
        <w:t>一、领域：</w:t>
      </w:r>
      <w:r>
        <w:rPr>
          <w:rFonts w:hint="eastAsia" w:ascii="仿宋_GB2312" w:hAnsi="仿宋_GB2312" w:eastAsia="仿宋_GB2312" w:cs="仿宋_GB2312"/>
          <w:spacing w:val="8"/>
          <w:sz w:val="32"/>
          <w:szCs w:val="32"/>
          <w:highlight w:val="none"/>
          <w:lang w:eastAsia="zh-CN"/>
        </w:rPr>
        <w:t>分子快检</w:t>
      </w:r>
    </w:p>
    <w:p w14:paraId="0A251C3D">
      <w:pPr>
        <w:pStyle w:val="3"/>
        <w:spacing w:before="47" w:line="560" w:lineRule="exact"/>
        <w:ind w:right="19"/>
        <w:jc w:val="both"/>
        <w:rPr>
          <w:rFonts w:ascii="黑体" w:hAnsi="黑体" w:eastAsia="黑体" w:cs="黑体"/>
          <w:bCs/>
          <w:spacing w:val="8"/>
          <w:sz w:val="32"/>
          <w:szCs w:val="32"/>
          <w:highlight w:val="none"/>
          <w:lang w:eastAsia="zh-CN"/>
        </w:rPr>
      </w:pPr>
      <w:r>
        <w:rPr>
          <w:rFonts w:hint="eastAsia" w:ascii="黑体" w:hAnsi="黑体" w:eastAsia="黑体" w:cs="黑体"/>
          <w:bCs/>
          <w:spacing w:val="8"/>
          <w:sz w:val="32"/>
          <w:szCs w:val="32"/>
          <w:highlight w:val="none"/>
          <w:lang w:eastAsia="zh-CN"/>
        </w:rPr>
        <w:t>二、主要研究内容</w:t>
      </w:r>
    </w:p>
    <w:p w14:paraId="739ED56C">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建立一套适用于儿童门急诊的全面高通量核酸快检系统评估体系，该体系能够从分析性能、临床性能、防污染、检测效率、易用性等多个维度来定义高通量核酸快检系统，从而指导各个厂家能够开发出高性能、高效、安全的高通量核酸检测系统，同时也需建立一套医院端的验证体系，为医院选择合适的高通量核酸检测系统提供指导依据。基于上述建立的体系对高通量核酸检测系统进行评价。</w:t>
      </w:r>
    </w:p>
    <w:p w14:paraId="2F6E9169">
      <w:pPr>
        <w:pStyle w:val="3"/>
        <w:spacing w:before="47" w:line="560" w:lineRule="exact"/>
        <w:ind w:right="19"/>
        <w:jc w:val="both"/>
        <w:rPr>
          <w:rFonts w:ascii="黑体" w:hAnsi="黑体" w:eastAsia="黑体" w:cs="黑体"/>
          <w:bCs/>
          <w:spacing w:val="8"/>
          <w:sz w:val="32"/>
          <w:szCs w:val="32"/>
          <w:highlight w:val="none"/>
          <w:lang w:eastAsia="zh-CN"/>
        </w:rPr>
      </w:pPr>
      <w:r>
        <w:rPr>
          <w:rFonts w:hint="eastAsia" w:ascii="黑体" w:hAnsi="黑体" w:eastAsia="黑体" w:cs="黑体"/>
          <w:bCs/>
          <w:spacing w:val="8"/>
          <w:sz w:val="32"/>
          <w:szCs w:val="32"/>
          <w:highlight w:val="none"/>
          <w:lang w:eastAsia="zh-CN"/>
        </w:rPr>
        <w:t>三、项目考核指标（项目执行期内）</w:t>
      </w:r>
    </w:p>
    <w:p w14:paraId="3FCD48AE">
      <w:pPr>
        <w:pStyle w:val="3"/>
        <w:spacing w:before="47" w:line="560" w:lineRule="exact"/>
        <w:ind w:right="19" w:firstLine="504" w:firstLineChars="15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416A0564">
      <w:pPr>
        <w:pStyle w:val="3"/>
        <w:spacing w:before="47" w:line="560" w:lineRule="exact"/>
        <w:ind w:right="19" w:firstLine="504" w:firstLineChars="15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共同发表中文或SCI论文≥1篇；</w:t>
      </w:r>
    </w:p>
    <w:p w14:paraId="1B5DA06D">
      <w:pPr>
        <w:pStyle w:val="3"/>
        <w:spacing w:before="47" w:line="560" w:lineRule="exact"/>
        <w:ind w:right="19" w:firstLine="504" w:firstLineChars="15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421B527A">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建立高通量核酸快检系统的评估体系，并对核酸检测设备进行全面系统地评估，形成≥1份评估报告。</w:t>
      </w:r>
    </w:p>
    <w:p w14:paraId="2D37E544">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bCs/>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54633E77">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bCs/>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w:t>
      </w:r>
      <w:r>
        <w:rPr>
          <w:rFonts w:hint="eastAsia" w:ascii="仿宋_GB2312" w:hAnsi="仿宋_GB2312" w:eastAsia="仿宋_GB2312" w:cs="仿宋_GB2312"/>
          <w:spacing w:val="8"/>
          <w:sz w:val="32"/>
          <w:szCs w:val="32"/>
          <w:highlight w:val="none"/>
          <w:lang w:val="en-US" w:eastAsia="zh-CN"/>
        </w:rPr>
        <w:t>1</w:t>
      </w:r>
      <w:r>
        <w:rPr>
          <w:rFonts w:hint="eastAsia" w:ascii="仿宋_GB2312" w:hAnsi="仿宋_GB2312" w:eastAsia="仿宋_GB2312" w:cs="仿宋_GB2312"/>
          <w:spacing w:val="8"/>
          <w:sz w:val="32"/>
          <w:szCs w:val="32"/>
          <w:highlight w:val="none"/>
          <w:lang w:eastAsia="zh-CN"/>
        </w:rPr>
        <w:t>0万元</w:t>
      </w:r>
    </w:p>
    <w:p w14:paraId="1E33256A">
      <w:pPr>
        <w:pStyle w:val="3"/>
        <w:spacing w:before="47" w:line="560" w:lineRule="exact"/>
        <w:ind w:right="19"/>
        <w:jc w:val="center"/>
        <w:rPr>
          <w:rFonts w:ascii="黑体" w:hAnsi="黑体" w:eastAsia="黑体" w:cs="黑体"/>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w:t>
      </w:r>
      <w:r>
        <w:rPr>
          <w:rFonts w:hint="eastAsia" w:ascii="黑体" w:hAnsi="黑体" w:eastAsia="黑体" w:cs="黑体"/>
          <w:b/>
          <w:bCs/>
          <w:spacing w:val="8"/>
          <w:sz w:val="32"/>
          <w:szCs w:val="32"/>
          <w:highlight w:val="none"/>
          <w:lang w:eastAsia="zh-CN"/>
        </w:rPr>
        <w:t>002 脑卒中患者日常生活活动能力康复进展的机器学习预测模型研究</w:t>
      </w:r>
    </w:p>
    <w:p w14:paraId="4CCD5F94">
      <w:pPr>
        <w:pStyle w:val="3"/>
        <w:spacing w:before="47" w:line="560" w:lineRule="exact"/>
        <w:ind w:right="19"/>
        <w:rPr>
          <w:rFonts w:ascii="仿宋_GB2312" w:hAnsi="仿宋_GB2312" w:eastAsia="仿宋_GB2312" w:cs="仿宋_GB2312"/>
          <w:bCs/>
          <w:spacing w:val="8"/>
          <w:sz w:val="32"/>
          <w:szCs w:val="32"/>
          <w:highlight w:val="none"/>
          <w:lang w:eastAsia="zh-CN"/>
        </w:rPr>
      </w:pPr>
      <w:r>
        <w:rPr>
          <w:rFonts w:hint="eastAsia" w:ascii="黑体" w:hAnsi="黑体" w:eastAsia="黑体" w:cs="黑体"/>
          <w:spacing w:val="8"/>
          <w:sz w:val="32"/>
          <w:szCs w:val="32"/>
          <w:highlight w:val="none"/>
          <w:lang w:eastAsia="zh-CN"/>
        </w:rPr>
        <w:t>一、领域：</w:t>
      </w:r>
      <w:r>
        <w:rPr>
          <w:rFonts w:hint="eastAsia" w:ascii="仿宋_GB2312" w:hAnsi="仿宋_GB2312" w:eastAsia="仿宋_GB2312" w:cs="仿宋_GB2312"/>
          <w:bCs/>
          <w:spacing w:val="8"/>
          <w:sz w:val="32"/>
          <w:szCs w:val="32"/>
          <w:highlight w:val="none"/>
          <w:lang w:eastAsia="zh-CN"/>
        </w:rPr>
        <w:t>脑卒中康复</w:t>
      </w:r>
    </w:p>
    <w:p w14:paraId="0CD62852">
      <w:pPr>
        <w:pStyle w:val="3"/>
        <w:spacing w:before="47" w:line="560" w:lineRule="exact"/>
        <w:ind w:right="19"/>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二、主要研究内容</w:t>
      </w:r>
    </w:p>
    <w:p w14:paraId="1683D639">
      <w:pPr>
        <w:spacing w:before="91" w:line="560" w:lineRule="exact"/>
        <w:ind w:right="248" w:firstLine="672" w:firstLineChars="200"/>
        <w:jc w:val="both"/>
        <w:outlineLvl w:val="0"/>
        <w:rPr>
          <w:rFonts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中重度脑卒中的康复治疗，是神经康复的重点、难点，是降低卒中残疾率的关键环节。日常生活活动能力（ADL）反映了人们在家庭内和在社区中的最大基本能力，是评价脑卒中功能预后的指标之一。基于单中心、前瞻性的中重度脑卒中住院康复治疗患者病例不少于200例，以单个住院周期入、出院时患者MBI评分差值作为ADL能力进展状况评价指标。收集人口统计学资料、危险因素、影像信息、康复量表评分等，分析影响ADL改善的核心影响因素，联合以上多模态信息，采用机器学习算法，建立ADL康复改善预测模型。</w:t>
      </w:r>
    </w:p>
    <w:p w14:paraId="32493DA6">
      <w:pPr>
        <w:spacing w:before="91" w:line="560" w:lineRule="exact"/>
        <w:ind w:right="248"/>
        <w:outlineLvl w:val="0"/>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三、项目考核指标（项目执行期内）</w:t>
      </w:r>
    </w:p>
    <w:p w14:paraId="3ECEE0E5">
      <w:pPr>
        <w:spacing w:before="91" w:line="560" w:lineRule="exact"/>
        <w:ind w:right="248" w:firstLine="672" w:firstLineChars="200"/>
        <w:jc w:val="both"/>
        <w:outlineLvl w:val="0"/>
        <w:rPr>
          <w:rFonts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（一）学术指标：</w:t>
      </w:r>
    </w:p>
    <w:p w14:paraId="4D8E3EE3">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2951CD35">
      <w:pPr>
        <w:spacing w:before="91" w:line="560" w:lineRule="exact"/>
        <w:ind w:right="248" w:firstLine="672" w:firstLineChars="200"/>
        <w:jc w:val="both"/>
        <w:outlineLvl w:val="0"/>
        <w:rPr>
          <w:rFonts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（二）技术指标：</w:t>
      </w:r>
    </w:p>
    <w:p w14:paraId="4B81037D">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建立一种脑卒中患者单个康复治疗周期后ALD改善的预测模型，形成≥1份相关</w:t>
      </w:r>
      <w:r>
        <w:rPr>
          <w:rFonts w:hint="eastAsia" w:ascii="仿宋_GB2312" w:hAnsi="仿宋_GB2312" w:eastAsia="仿宋_GB2312" w:cs="仿宋_GB2312"/>
          <w:bCs/>
          <w:spacing w:val="8"/>
          <w:sz w:val="32"/>
          <w:szCs w:val="32"/>
          <w:highlight w:val="none"/>
          <w:lang w:val="en-US" w:eastAsia="zh-CN"/>
        </w:rPr>
        <w:t>验证</w:t>
      </w:r>
      <w:r>
        <w:rPr>
          <w:rFonts w:hint="eastAsia" w:ascii="仿宋_GB2312" w:hAnsi="仿宋_GB2312" w:eastAsia="仿宋_GB2312" w:cs="仿宋_GB2312"/>
          <w:bCs/>
          <w:spacing w:val="8"/>
          <w:sz w:val="32"/>
          <w:szCs w:val="32"/>
          <w:highlight w:val="none"/>
          <w:lang w:eastAsia="zh-CN"/>
        </w:rPr>
        <w:t>报告。</w:t>
      </w:r>
    </w:p>
    <w:p w14:paraId="4CE665D6">
      <w:pPr>
        <w:spacing w:before="91" w:line="560" w:lineRule="exact"/>
        <w:ind w:right="248"/>
        <w:jc w:val="both"/>
        <w:outlineLvl w:val="0"/>
        <w:rPr>
          <w:rFonts w:ascii="仿宋_GB2312" w:hAnsi="仿宋_GB2312" w:eastAsia="仿宋_GB2312" w:cs="仿宋_GB2312"/>
          <w:bCs/>
          <w:spacing w:val="8"/>
          <w:sz w:val="32"/>
          <w:szCs w:val="32"/>
          <w:highlight w:val="none"/>
          <w:lang w:eastAsia="zh-CN"/>
        </w:rPr>
      </w:pPr>
      <w:r>
        <w:rPr>
          <w:rFonts w:hint="eastAsia" w:ascii="黑体" w:hAnsi="黑体" w:eastAsia="黑体" w:cs="黑体"/>
          <w:spacing w:val="8"/>
          <w:sz w:val="32"/>
          <w:szCs w:val="32"/>
          <w:highlight w:val="none"/>
          <w:lang w:eastAsia="zh-CN"/>
        </w:rPr>
        <w:t>四、项目实施年限：</w:t>
      </w:r>
      <w:r>
        <w:rPr>
          <w:rFonts w:hint="eastAsia" w:ascii="仿宋_GB2312" w:hAnsi="仿宋_GB2312" w:eastAsia="仿宋_GB2312" w:cs="仿宋_GB2312"/>
          <w:bCs/>
          <w:spacing w:val="8"/>
          <w:sz w:val="32"/>
          <w:szCs w:val="32"/>
          <w:highlight w:val="none"/>
          <w:lang w:eastAsia="zh-CN"/>
        </w:rPr>
        <w:t>不超过</w:t>
      </w:r>
      <w:r>
        <w:rPr>
          <w:rFonts w:hint="eastAsia" w:ascii="仿宋_GB2312" w:hAnsi="仿宋_GB2312" w:eastAsia="仿宋_GB2312" w:cs="仿宋_GB2312"/>
          <w:bCs/>
          <w:spacing w:val="8"/>
          <w:sz w:val="32"/>
          <w:szCs w:val="32"/>
          <w:highlight w:val="none"/>
          <w:lang w:val="en-US" w:eastAsia="zh-CN"/>
        </w:rPr>
        <w:t>2</w:t>
      </w:r>
      <w:r>
        <w:rPr>
          <w:rFonts w:hint="eastAsia" w:ascii="仿宋_GB2312" w:hAnsi="仿宋_GB2312" w:eastAsia="仿宋_GB2312" w:cs="仿宋_GB2312"/>
          <w:bCs/>
          <w:spacing w:val="8"/>
          <w:sz w:val="32"/>
          <w:szCs w:val="32"/>
          <w:highlight w:val="none"/>
          <w:lang w:eastAsia="zh-CN"/>
        </w:rPr>
        <w:t>年</w:t>
      </w:r>
    </w:p>
    <w:p w14:paraId="26EE9B0D">
      <w:pPr>
        <w:spacing w:before="91" w:line="560" w:lineRule="exact"/>
        <w:ind w:right="248"/>
        <w:jc w:val="both"/>
        <w:outlineLvl w:val="0"/>
        <w:rPr>
          <w:rFonts w:ascii="仿宋_GB2312" w:hAnsi="仿宋_GB2312" w:eastAsia="仿宋_GB2312" w:cs="仿宋_GB2312"/>
          <w:bCs/>
          <w:spacing w:val="8"/>
          <w:sz w:val="32"/>
          <w:szCs w:val="32"/>
          <w:highlight w:val="none"/>
          <w:lang w:eastAsia="zh-CN"/>
        </w:rPr>
      </w:pPr>
      <w:r>
        <w:rPr>
          <w:rFonts w:hint="eastAsia" w:ascii="黑体" w:hAnsi="黑体" w:eastAsia="黑体" w:cs="黑体"/>
          <w:spacing w:val="8"/>
          <w:sz w:val="32"/>
          <w:szCs w:val="32"/>
          <w:highlight w:val="none"/>
          <w:lang w:eastAsia="zh-CN"/>
        </w:rPr>
        <w:t>五、资助金额：</w:t>
      </w:r>
      <w:r>
        <w:rPr>
          <w:rFonts w:hint="eastAsia" w:ascii="仿宋_GB2312" w:hAnsi="仿宋_GB2312" w:eastAsia="仿宋_GB2312" w:cs="仿宋_GB2312"/>
          <w:bCs/>
          <w:spacing w:val="8"/>
          <w:sz w:val="32"/>
          <w:szCs w:val="32"/>
          <w:highlight w:val="none"/>
          <w:lang w:eastAsia="zh-CN"/>
        </w:rPr>
        <w:t>不超过</w:t>
      </w:r>
      <w:r>
        <w:rPr>
          <w:rFonts w:ascii="仿宋_GB2312" w:hAnsi="仿宋_GB2312" w:eastAsia="仿宋_GB2312" w:cs="仿宋_GB2312"/>
          <w:bCs/>
          <w:spacing w:val="8"/>
          <w:sz w:val="32"/>
          <w:szCs w:val="32"/>
          <w:highlight w:val="none"/>
          <w:lang w:eastAsia="zh-CN"/>
        </w:rPr>
        <w:t>15</w:t>
      </w:r>
      <w:r>
        <w:rPr>
          <w:rFonts w:hint="eastAsia" w:ascii="仿宋_GB2312" w:hAnsi="仿宋_GB2312" w:eastAsia="仿宋_GB2312" w:cs="仿宋_GB2312"/>
          <w:bCs/>
          <w:spacing w:val="8"/>
          <w:sz w:val="32"/>
          <w:szCs w:val="32"/>
          <w:highlight w:val="none"/>
          <w:lang w:eastAsia="zh-CN"/>
        </w:rPr>
        <w:t>万元</w:t>
      </w:r>
    </w:p>
    <w:p w14:paraId="6A30FB3C">
      <w:pPr>
        <w:spacing w:before="91" w:line="560" w:lineRule="exact"/>
        <w:ind w:right="248"/>
        <w:jc w:val="center"/>
        <w:outlineLvl w:val="0"/>
        <w:rPr>
          <w:rFonts w:ascii="黑体" w:hAnsi="黑体" w:eastAsia="黑体" w:cs="黑体"/>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w:t>
      </w:r>
      <w:r>
        <w:rPr>
          <w:rFonts w:hint="eastAsia" w:ascii="黑体" w:hAnsi="黑体" w:eastAsia="黑体" w:cs="黑体"/>
          <w:b/>
          <w:bCs/>
          <w:spacing w:val="8"/>
          <w:sz w:val="32"/>
          <w:szCs w:val="32"/>
          <w:highlight w:val="none"/>
          <w:lang w:eastAsia="zh-CN"/>
        </w:rPr>
        <w:t>003 癫痫发作急性期铁死亡相关基因水平以及神经元特异性烯醇化酶、中枢神经特异性蛋白的变化及临床监测价值的研究</w:t>
      </w:r>
    </w:p>
    <w:p w14:paraId="3534A8DE">
      <w:pPr>
        <w:spacing w:before="91" w:line="560" w:lineRule="exact"/>
        <w:ind w:right="248"/>
        <w:jc w:val="both"/>
        <w:outlineLvl w:val="0"/>
        <w:rPr>
          <w:rFonts w:ascii="仿宋_GB2312" w:hAnsi="仿宋_GB2312" w:eastAsia="仿宋_GB2312" w:cs="仿宋_GB2312"/>
          <w:spacing w:val="8"/>
          <w:sz w:val="32"/>
          <w:szCs w:val="32"/>
          <w:highlight w:val="none"/>
          <w:lang w:eastAsia="zh-CN"/>
        </w:rPr>
      </w:pPr>
      <w:r>
        <w:rPr>
          <w:rFonts w:hint="eastAsia" w:ascii="黑体" w:hAnsi="黑体" w:eastAsia="黑体" w:cs="黑体"/>
          <w:bCs/>
          <w:spacing w:val="8"/>
          <w:sz w:val="32"/>
          <w:szCs w:val="32"/>
          <w:highlight w:val="none"/>
          <w:lang w:eastAsia="zh-CN"/>
        </w:rPr>
        <w:t>一、领域：</w:t>
      </w:r>
      <w:r>
        <w:rPr>
          <w:rFonts w:hint="eastAsia" w:ascii="仿宋_GB2312" w:hAnsi="仿宋_GB2312" w:eastAsia="仿宋_GB2312" w:cs="仿宋_GB2312"/>
          <w:spacing w:val="8"/>
          <w:sz w:val="32"/>
          <w:szCs w:val="32"/>
          <w:highlight w:val="none"/>
          <w:lang w:eastAsia="zh-CN"/>
        </w:rPr>
        <w:t>癫痫临床监测</w:t>
      </w:r>
    </w:p>
    <w:p w14:paraId="403F09B7">
      <w:pPr>
        <w:pStyle w:val="3"/>
        <w:spacing w:before="47" w:line="560" w:lineRule="exact"/>
        <w:ind w:right="19"/>
        <w:jc w:val="both"/>
        <w:rPr>
          <w:rFonts w:ascii="黑体" w:hAnsi="黑体" w:eastAsia="黑体" w:cs="黑体"/>
          <w:bCs/>
          <w:spacing w:val="8"/>
          <w:sz w:val="32"/>
          <w:szCs w:val="32"/>
          <w:highlight w:val="none"/>
          <w:lang w:eastAsia="zh-CN"/>
        </w:rPr>
      </w:pPr>
      <w:r>
        <w:rPr>
          <w:rFonts w:hint="eastAsia" w:ascii="黑体" w:hAnsi="黑体" w:eastAsia="黑体" w:cs="黑体"/>
          <w:bCs/>
          <w:spacing w:val="8"/>
          <w:sz w:val="32"/>
          <w:szCs w:val="32"/>
          <w:highlight w:val="none"/>
          <w:lang w:eastAsia="zh-CN"/>
        </w:rPr>
        <w:t>二、主要研究内容</w:t>
      </w:r>
    </w:p>
    <w:p w14:paraId="5A546973">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拟纳入80例癫痫患者作为研究对象，依据发作时相分为癫痫急性发作组与发作间期组。通过检测研究对象血浆中铁死亡关键因子以及神经损伤标志物神经元特异性烯醇化酶（NSE）和中枢神经特异性蛋白（S-100）的表达水平，探讨其在癫痫急性发作期的变化特征，采用ROC曲线分析评估各因子对癫痫急性发作的诊断效能，通过多因素回归分析明确影响患者预后的独立危险因素，为癫痫的病情评估与预后判断提供新的生物标志物依据。</w:t>
      </w:r>
    </w:p>
    <w:p w14:paraId="25783801">
      <w:pPr>
        <w:pStyle w:val="3"/>
        <w:spacing w:before="47" w:line="560" w:lineRule="exact"/>
        <w:ind w:right="19"/>
        <w:jc w:val="both"/>
        <w:rPr>
          <w:rFonts w:ascii="黑体" w:hAnsi="黑体" w:eastAsia="黑体" w:cs="黑体"/>
          <w:bCs/>
          <w:spacing w:val="8"/>
          <w:sz w:val="32"/>
          <w:szCs w:val="32"/>
          <w:highlight w:val="none"/>
          <w:lang w:eastAsia="zh-CN"/>
        </w:rPr>
      </w:pPr>
      <w:r>
        <w:rPr>
          <w:rFonts w:hint="eastAsia" w:ascii="黑体" w:hAnsi="黑体" w:eastAsia="黑体" w:cs="黑体"/>
          <w:bCs/>
          <w:spacing w:val="8"/>
          <w:sz w:val="32"/>
          <w:szCs w:val="32"/>
          <w:highlight w:val="none"/>
          <w:lang w:eastAsia="zh-CN"/>
        </w:rPr>
        <w:t>三、项目考核指标（项目执行期内）</w:t>
      </w:r>
    </w:p>
    <w:p w14:paraId="1009562F">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19E49B8C">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04A806A8">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0E07B852">
      <w:pPr>
        <w:pStyle w:val="3"/>
        <w:spacing w:before="47" w:line="560" w:lineRule="exact"/>
        <w:ind w:right="19" w:firstLine="672" w:firstLineChars="200"/>
        <w:rPr>
          <w:rFonts w:hint="eastAsia" w:ascii="仿宋_GB2312" w:eastAsia="仿宋_GB2312"/>
          <w:snapToGrid/>
          <w:color w:val="auto"/>
          <w:spacing w:val="8"/>
          <w:sz w:val="32"/>
          <w:szCs w:val="32"/>
          <w:highlight w:val="none"/>
          <w:lang w:eastAsia="zh-CN"/>
        </w:rPr>
      </w:pPr>
      <w:r>
        <w:rPr>
          <w:rFonts w:hint="eastAsia" w:ascii="仿宋_GB2312" w:eastAsia="仿宋_GB2312"/>
          <w:spacing w:val="8"/>
          <w:sz w:val="32"/>
          <w:szCs w:val="32"/>
          <w:highlight w:val="none"/>
          <w:lang w:eastAsia="zh-CN"/>
        </w:rPr>
        <w:t>构建包含临床特征－分子标志物－预后参数的数据库，建立癫痫急性期诊断预测模型，并形成≥1份评估分析报告。</w:t>
      </w:r>
    </w:p>
    <w:p w14:paraId="47FB8630">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bCs/>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w:t>
      </w:r>
      <w:r>
        <w:rPr>
          <w:rFonts w:hint="eastAsia" w:ascii="仿宋_GB2312" w:hAnsi="仿宋_GB2312" w:eastAsia="仿宋_GB2312" w:cs="仿宋_GB2312"/>
          <w:spacing w:val="8"/>
          <w:sz w:val="32"/>
          <w:szCs w:val="32"/>
          <w:highlight w:val="none"/>
          <w:lang w:val="en-US" w:eastAsia="zh-CN"/>
        </w:rPr>
        <w:t>2</w:t>
      </w:r>
      <w:r>
        <w:rPr>
          <w:rFonts w:hint="eastAsia" w:ascii="仿宋_GB2312" w:hAnsi="仿宋_GB2312" w:eastAsia="仿宋_GB2312" w:cs="仿宋_GB2312"/>
          <w:spacing w:val="8"/>
          <w:sz w:val="32"/>
          <w:szCs w:val="32"/>
          <w:highlight w:val="none"/>
          <w:lang w:eastAsia="zh-CN"/>
        </w:rPr>
        <w:t>年</w:t>
      </w:r>
    </w:p>
    <w:p w14:paraId="517C4C3E">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bCs/>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w:t>
      </w:r>
      <w:r>
        <w:rPr>
          <w:rFonts w:ascii="仿宋_GB2312" w:hAnsi="仿宋_GB2312" w:eastAsia="仿宋_GB2312" w:cs="仿宋_GB2312"/>
          <w:spacing w:val="8"/>
          <w:sz w:val="32"/>
          <w:szCs w:val="32"/>
          <w:highlight w:val="none"/>
          <w:lang w:eastAsia="zh-CN"/>
        </w:rPr>
        <w:t>20</w:t>
      </w:r>
      <w:r>
        <w:rPr>
          <w:rFonts w:hint="eastAsia" w:ascii="仿宋_GB2312" w:hAnsi="仿宋_GB2312" w:eastAsia="仿宋_GB2312" w:cs="仿宋_GB2312"/>
          <w:spacing w:val="8"/>
          <w:sz w:val="32"/>
          <w:szCs w:val="32"/>
          <w:highlight w:val="none"/>
          <w:lang w:eastAsia="zh-CN"/>
        </w:rPr>
        <w:t>万元</w:t>
      </w:r>
    </w:p>
    <w:p w14:paraId="5C2884EF">
      <w:pPr>
        <w:pStyle w:val="3"/>
        <w:spacing w:before="47" w:line="560" w:lineRule="exact"/>
        <w:ind w:right="19"/>
        <w:jc w:val="center"/>
        <w:rPr>
          <w:rFonts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w:t>
      </w:r>
      <w:r>
        <w:rPr>
          <w:rFonts w:hint="eastAsia" w:ascii="黑体" w:hAnsi="黑体" w:eastAsia="黑体" w:cs="黑体"/>
          <w:b/>
          <w:bCs/>
          <w:spacing w:val="8"/>
          <w:sz w:val="32"/>
          <w:szCs w:val="32"/>
          <w:highlight w:val="none"/>
          <w:lang w:eastAsia="zh-CN"/>
        </w:rPr>
        <w:t>004 超声剪切波弹性成像在颈椎病水射流治疗中的应用研究</w:t>
      </w:r>
    </w:p>
    <w:p w14:paraId="41EA8BD9">
      <w:pPr>
        <w:pStyle w:val="3"/>
        <w:spacing w:before="47" w:line="560" w:lineRule="exact"/>
        <w:ind w:left="720" w:right="19" w:hanging="720"/>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一、领域：</w:t>
      </w:r>
      <w:r>
        <w:rPr>
          <w:rFonts w:hint="eastAsia" w:ascii="仿宋_GB2312" w:hAnsi="仿宋_GB2312" w:eastAsia="仿宋_GB2312" w:cs="仿宋_GB2312"/>
          <w:spacing w:val="8"/>
          <w:sz w:val="32"/>
          <w:szCs w:val="32"/>
          <w:highlight w:val="none"/>
          <w:lang w:eastAsia="zh-CN"/>
        </w:rPr>
        <w:t>疼痛治疗</w:t>
      </w:r>
    </w:p>
    <w:p w14:paraId="6427AFF0">
      <w:pPr>
        <w:pStyle w:val="3"/>
        <w:spacing w:before="47" w:line="560" w:lineRule="exact"/>
        <w:ind w:left="720" w:right="19" w:hanging="720"/>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二、主要研究内容</w:t>
      </w:r>
    </w:p>
    <w:p w14:paraId="4D6E3061">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颈椎病作为全球致残率最高的慢性疾病之一，其病理机制涉及椎动脉血流动力学异常与肌肉软组织纤维化双重改变。超声剪切波弹性成像作为无创定量评估技术，通过测量剪切波传播速度可精准量化肌肉硬度变化，为疗效评估提供客观依据。本研究通过超声剪切波弹性成像、血流动力学监测、临床症状评估及血清学检测多个维度，系统评估水射流治疗对颈椎病患者椎动脉、肌肉软组织及全身影响的综合疗效。</w:t>
      </w:r>
    </w:p>
    <w:p w14:paraId="23111104">
      <w:pPr>
        <w:pStyle w:val="3"/>
        <w:spacing w:before="47" w:line="560" w:lineRule="exact"/>
        <w:ind w:right="19" w:firstLine="0" w:firstLineChars="0"/>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三、项目考核指标（项目执行期内）</w:t>
      </w:r>
    </w:p>
    <w:p w14:paraId="4D7BA0B4">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3409268B">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49B01084">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189C4824">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通过治疗前后效果评估及远期随访，结合颈部运动测试，采用超声弹性成像监测椎动脉血流及肌肉弹性，并同步检测生命体征、心理量表、血清指标和脑血氧变化，全面评估水射流治疗效果</w:t>
      </w:r>
      <w:r>
        <w:rPr>
          <w:rFonts w:hint="eastAsia" w:ascii="仿宋_GB2312" w:hAnsi="仿宋_GB2312" w:eastAsia="仿宋_GB2312" w:cs="仿宋_GB2312"/>
          <w:spacing w:val="8"/>
          <w:sz w:val="32"/>
          <w:szCs w:val="32"/>
          <w:highlight w:val="none"/>
          <w:lang w:val="en-US" w:eastAsia="zh-CN"/>
        </w:rPr>
        <w:t>并形成≥1份项目评估报告。</w:t>
      </w:r>
    </w:p>
    <w:p w14:paraId="00124D76">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3EBC6B91">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w:t>
      </w:r>
      <w:r>
        <w:rPr>
          <w:rFonts w:ascii="仿宋_GB2312" w:hAnsi="仿宋_GB2312" w:eastAsia="仿宋_GB2312" w:cs="仿宋_GB2312"/>
          <w:spacing w:val="8"/>
          <w:sz w:val="32"/>
          <w:szCs w:val="32"/>
          <w:highlight w:val="none"/>
          <w:lang w:eastAsia="zh-CN"/>
        </w:rPr>
        <w:t>2</w:t>
      </w:r>
      <w:r>
        <w:rPr>
          <w:rFonts w:hint="eastAsia" w:ascii="仿宋_GB2312" w:hAnsi="仿宋_GB2312" w:eastAsia="仿宋_GB2312" w:cs="仿宋_GB2312"/>
          <w:spacing w:val="8"/>
          <w:sz w:val="32"/>
          <w:szCs w:val="32"/>
          <w:highlight w:val="none"/>
          <w:lang w:eastAsia="zh-CN"/>
        </w:rPr>
        <w:t>0万元</w:t>
      </w:r>
    </w:p>
    <w:p w14:paraId="7E426E15">
      <w:pPr>
        <w:pStyle w:val="3"/>
        <w:spacing w:before="47" w:line="560" w:lineRule="exact"/>
        <w:ind w:right="19"/>
        <w:jc w:val="center"/>
        <w:rPr>
          <w:rFonts w:ascii="仿宋_GB2312" w:hAnsi="仿宋_GB2312" w:eastAsia="仿宋_GB2312" w:cs="仿宋_GB2312"/>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w:t>
      </w:r>
      <w:r>
        <w:rPr>
          <w:rFonts w:hint="eastAsia" w:ascii="黑体" w:hAnsi="黑体" w:eastAsia="黑体" w:cs="黑体"/>
          <w:b/>
          <w:bCs/>
          <w:spacing w:val="8"/>
          <w:sz w:val="32"/>
          <w:szCs w:val="32"/>
          <w:highlight w:val="none"/>
          <w:lang w:eastAsia="zh-CN"/>
        </w:rPr>
        <w:t>00</w:t>
      </w:r>
      <w:r>
        <w:rPr>
          <w:rFonts w:ascii="黑体" w:hAnsi="黑体" w:eastAsia="黑体" w:cs="黑体"/>
          <w:b/>
          <w:bCs/>
          <w:spacing w:val="8"/>
          <w:sz w:val="32"/>
          <w:szCs w:val="32"/>
          <w:highlight w:val="none"/>
          <w:lang w:eastAsia="zh-CN"/>
        </w:rPr>
        <w:t>5</w:t>
      </w:r>
      <w:r>
        <w:rPr>
          <w:rFonts w:hint="eastAsia" w:ascii="黑体" w:hAnsi="黑体" w:eastAsia="黑体" w:cs="黑体"/>
          <w:b/>
          <w:bCs/>
          <w:spacing w:val="8"/>
          <w:sz w:val="32"/>
          <w:szCs w:val="32"/>
          <w:highlight w:val="none"/>
          <w:lang w:eastAsia="zh-CN"/>
        </w:rPr>
        <w:t xml:space="preserve"> 新型传染性疾病标志物在传染病诊断、用药及预后的临床应用研究</w:t>
      </w:r>
    </w:p>
    <w:p w14:paraId="3F67478B">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一、领域：</w:t>
      </w:r>
      <w:r>
        <w:rPr>
          <w:rFonts w:hint="eastAsia" w:ascii="仿宋_GB2312" w:hAnsi="仿宋_GB2312" w:eastAsia="仿宋_GB2312" w:cs="仿宋_GB2312"/>
          <w:bCs/>
          <w:spacing w:val="8"/>
          <w:sz w:val="32"/>
          <w:szCs w:val="32"/>
          <w:highlight w:val="none"/>
          <w:lang w:eastAsia="zh-CN"/>
        </w:rPr>
        <w:t>传染性疾病临床研究</w:t>
      </w:r>
    </w:p>
    <w:p w14:paraId="58A29899">
      <w:pPr>
        <w:pStyle w:val="3"/>
        <w:spacing w:before="47" w:line="560" w:lineRule="exact"/>
        <w:ind w:right="19"/>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二、主要研究内容</w:t>
      </w:r>
    </w:p>
    <w:p w14:paraId="55590799">
      <w:pPr>
        <w:pStyle w:val="3"/>
        <w:spacing w:line="560" w:lineRule="exact"/>
        <w:ind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围绕传染性疾病患者全程管理的临床诊疗需求，通过新型传染性疾病标志物（HBcrAg等）与其他标志物联合建立诊断、停药后复发及并发症发生的预测模型，对患者进行风险分层，辅助决策患者是否需要接受针对性治疗及评估患者的治疗效果，为停药决策提供精准判断依据。</w:t>
      </w:r>
    </w:p>
    <w:p w14:paraId="2FA701EE">
      <w:pPr>
        <w:pStyle w:val="3"/>
        <w:spacing w:before="47" w:line="560" w:lineRule="exact"/>
        <w:ind w:left="720" w:right="19" w:hanging="720"/>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三、项目考核指标（项目执行期内）</w:t>
      </w:r>
    </w:p>
    <w:p w14:paraId="3554B9F5">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6A0205B5">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0BB0A3A4">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731F8E79">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通过新型传染性疾病标志物（HBcrAg等）与其他标志物联合建立诊断、停药后复发及并发症发生的预测模型形成≥1份</w:t>
      </w:r>
      <w:r>
        <w:rPr>
          <w:rFonts w:hint="eastAsia" w:ascii="仿宋_GB2312" w:hAnsi="仿宋_GB2312" w:eastAsia="仿宋_GB2312" w:cs="仿宋_GB2312"/>
          <w:spacing w:val="8"/>
          <w:sz w:val="32"/>
          <w:szCs w:val="32"/>
          <w:highlight w:val="none"/>
          <w:lang w:val="en-US" w:eastAsia="zh-CN"/>
        </w:rPr>
        <w:t>项目</w:t>
      </w:r>
      <w:r>
        <w:rPr>
          <w:rFonts w:hint="eastAsia" w:ascii="仿宋_GB2312" w:hAnsi="仿宋_GB2312" w:eastAsia="仿宋_GB2312" w:cs="仿宋_GB2312"/>
          <w:spacing w:val="8"/>
          <w:sz w:val="32"/>
          <w:szCs w:val="32"/>
          <w:highlight w:val="none"/>
          <w:lang w:eastAsia="zh-CN"/>
        </w:rPr>
        <w:t>分析报告。</w:t>
      </w:r>
    </w:p>
    <w:p w14:paraId="31CBED21">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1828DB8A">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不超过10万元</w:t>
      </w:r>
    </w:p>
    <w:p w14:paraId="1AF907F6">
      <w:pPr>
        <w:pStyle w:val="3"/>
        <w:spacing w:before="47" w:line="560" w:lineRule="exact"/>
        <w:ind w:right="19"/>
        <w:jc w:val="both"/>
        <w:rPr>
          <w:rFonts w:ascii="仿宋_GB2312" w:hAnsi="仿宋_GB2312" w:eastAsia="仿宋_GB2312" w:cs="仿宋_GB2312"/>
          <w:spacing w:val="8"/>
          <w:sz w:val="32"/>
          <w:szCs w:val="32"/>
          <w:highlight w:val="none"/>
          <w:lang w:eastAsia="zh-CN"/>
        </w:rPr>
      </w:pPr>
    </w:p>
    <w:p w14:paraId="41E40F1D">
      <w:pPr>
        <w:pStyle w:val="3"/>
        <w:spacing w:before="47" w:line="560" w:lineRule="exact"/>
        <w:ind w:right="19"/>
        <w:jc w:val="both"/>
        <w:rPr>
          <w:rFonts w:ascii="仿宋_GB2312" w:hAnsi="仿宋_GB2312" w:eastAsia="仿宋_GB2312" w:cs="仿宋_GB2312"/>
          <w:spacing w:val="8"/>
          <w:sz w:val="32"/>
          <w:szCs w:val="32"/>
          <w:highlight w:val="none"/>
          <w:lang w:eastAsia="zh-CN"/>
        </w:rPr>
      </w:pPr>
    </w:p>
    <w:p w14:paraId="3BFFE76D">
      <w:pPr>
        <w:pStyle w:val="3"/>
        <w:spacing w:before="47" w:line="560" w:lineRule="exact"/>
        <w:ind w:right="19"/>
        <w:jc w:val="both"/>
        <w:rPr>
          <w:rFonts w:ascii="仿宋_GB2312" w:hAnsi="仿宋_GB2312" w:eastAsia="仿宋_GB2312" w:cs="仿宋_GB2312"/>
          <w:spacing w:val="8"/>
          <w:sz w:val="32"/>
          <w:szCs w:val="32"/>
          <w:highlight w:val="none"/>
          <w:lang w:eastAsia="zh-CN"/>
        </w:rPr>
      </w:pPr>
    </w:p>
    <w:p w14:paraId="59F84C9B">
      <w:pPr>
        <w:pStyle w:val="3"/>
        <w:spacing w:before="47" w:line="560" w:lineRule="exact"/>
        <w:ind w:right="19"/>
        <w:jc w:val="center"/>
        <w:rPr>
          <w:rFonts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10006</w:t>
      </w:r>
      <w:r>
        <w:rPr>
          <w:rFonts w:hint="eastAsia" w:ascii="黑体" w:hAnsi="黑体" w:eastAsia="黑体" w:cs="黑体"/>
          <w:b/>
          <w:bCs/>
          <w:spacing w:val="8"/>
          <w:sz w:val="32"/>
          <w:szCs w:val="32"/>
          <w:highlight w:val="none"/>
          <w:lang w:eastAsia="zh-CN"/>
        </w:rPr>
        <w:t xml:space="preserve"> 肿瘤标志物在肿瘤疾病中预防、诊断、疗效及预后的临床应用研究</w:t>
      </w:r>
    </w:p>
    <w:p w14:paraId="32170EFB">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一、领域：</w:t>
      </w:r>
      <w:r>
        <w:rPr>
          <w:rFonts w:hint="eastAsia" w:ascii="仿宋_GB2312" w:hAnsi="仿宋_GB2312" w:eastAsia="仿宋_GB2312" w:cs="仿宋_GB2312"/>
          <w:spacing w:val="8"/>
          <w:sz w:val="32"/>
          <w:szCs w:val="32"/>
          <w:highlight w:val="none"/>
          <w:lang w:eastAsia="zh-CN"/>
        </w:rPr>
        <w:t>肿瘤预防诊断</w:t>
      </w:r>
    </w:p>
    <w:p w14:paraId="0A7315BA">
      <w:pPr>
        <w:pStyle w:val="3"/>
        <w:spacing w:before="47" w:line="560" w:lineRule="exact"/>
        <w:ind w:right="19"/>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二、主要研究内容</w:t>
      </w:r>
    </w:p>
    <w:p w14:paraId="24497329">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围绕我国肿瘤患者全程管理的临床诊疗需求，探讨化学发光法检测的肿瘤新标志物的病理、生理影响因素和检测干扰因素，确定利用肿瘤标志物开展肿瘤筛查的指征、参考范围和诊断价值，为实现我国肿瘤患者的早期诊断和精准治疗提供新依据。或开展肿瘤标志物在非肿瘤疾病中的探索应用。</w:t>
      </w:r>
    </w:p>
    <w:p w14:paraId="196F4AC2">
      <w:pPr>
        <w:pStyle w:val="3"/>
        <w:spacing w:before="47" w:line="560" w:lineRule="exact"/>
        <w:ind w:left="720" w:right="19" w:hanging="720"/>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三、项目考核指标（项目执行期内）</w:t>
      </w:r>
    </w:p>
    <w:p w14:paraId="69F73828">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5738EC7F">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40984E98">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2E0BE23B">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利用肿瘤标志物开展肿瘤筛查的指征、参考范围和诊断价值，为实现肿瘤患者的早期诊断和精准治疗提供新依据，基于以上研究内容形成≥1份</w:t>
      </w:r>
      <w:r>
        <w:rPr>
          <w:rFonts w:hint="eastAsia" w:ascii="仿宋_GB2312" w:hAnsi="仿宋_GB2312" w:eastAsia="仿宋_GB2312" w:cs="仿宋_GB2312"/>
          <w:spacing w:val="8"/>
          <w:sz w:val="32"/>
          <w:szCs w:val="32"/>
          <w:highlight w:val="none"/>
          <w:lang w:val="en-US" w:eastAsia="zh-CN"/>
        </w:rPr>
        <w:t>项目</w:t>
      </w:r>
      <w:r>
        <w:rPr>
          <w:rFonts w:hint="eastAsia" w:ascii="仿宋_GB2312" w:hAnsi="仿宋_GB2312" w:eastAsia="仿宋_GB2312" w:cs="仿宋_GB2312"/>
          <w:spacing w:val="8"/>
          <w:sz w:val="32"/>
          <w:szCs w:val="32"/>
          <w:highlight w:val="none"/>
          <w:lang w:eastAsia="zh-CN"/>
        </w:rPr>
        <w:t>分析报告。</w:t>
      </w:r>
    </w:p>
    <w:p w14:paraId="55457DE4">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39D0C913">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不超过20万元</w:t>
      </w:r>
    </w:p>
    <w:p w14:paraId="34ECE752">
      <w:pPr>
        <w:pStyle w:val="3"/>
        <w:spacing w:before="47" w:line="560" w:lineRule="exact"/>
        <w:ind w:right="19"/>
        <w:jc w:val="both"/>
        <w:rPr>
          <w:rFonts w:ascii="仿宋_GB2312" w:hAnsi="仿宋_GB2312" w:eastAsia="仿宋_GB2312" w:cs="仿宋_GB2312"/>
          <w:spacing w:val="8"/>
          <w:sz w:val="32"/>
          <w:szCs w:val="32"/>
          <w:highlight w:val="none"/>
          <w:lang w:eastAsia="zh-CN"/>
        </w:rPr>
      </w:pPr>
    </w:p>
    <w:p w14:paraId="645D6BDF">
      <w:pPr>
        <w:spacing w:before="91" w:line="560" w:lineRule="exact"/>
        <w:ind w:right="248"/>
        <w:jc w:val="center"/>
        <w:outlineLvl w:val="0"/>
        <w:rPr>
          <w:rFonts w:ascii="仿宋_GB2312" w:hAnsi="仿宋_GB2312" w:eastAsia="仿宋_GB2312" w:cs="仿宋_GB2312"/>
          <w:spacing w:val="19"/>
          <w:sz w:val="32"/>
          <w:szCs w:val="32"/>
          <w:highlight w:val="none"/>
          <w:lang w:eastAsia="zh-CN"/>
        </w:rPr>
      </w:pPr>
    </w:p>
    <w:p w14:paraId="5A727F6F">
      <w:pPr>
        <w:spacing w:before="91" w:line="560" w:lineRule="exact"/>
        <w:ind w:right="248"/>
        <w:jc w:val="center"/>
        <w:outlineLvl w:val="0"/>
        <w:rPr>
          <w:rFonts w:ascii="仿宋_GB2312" w:hAnsi="仿宋_GB2312" w:eastAsia="仿宋_GB2312" w:cs="仿宋_GB2312"/>
          <w:spacing w:val="19"/>
          <w:sz w:val="32"/>
          <w:szCs w:val="32"/>
          <w:highlight w:val="none"/>
          <w:lang w:eastAsia="zh-CN"/>
        </w:rPr>
      </w:pPr>
    </w:p>
    <w:p w14:paraId="401A36A0">
      <w:pPr>
        <w:pStyle w:val="3"/>
        <w:spacing w:before="47" w:line="560" w:lineRule="exact"/>
        <w:ind w:right="19"/>
        <w:jc w:val="center"/>
        <w:rPr>
          <w:rFonts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10007</w:t>
      </w:r>
      <w:r>
        <w:rPr>
          <w:rFonts w:hint="eastAsia" w:ascii="黑体" w:hAnsi="黑体" w:eastAsia="黑体" w:cs="黑体"/>
          <w:b/>
          <w:bCs/>
          <w:spacing w:val="8"/>
          <w:sz w:val="32"/>
          <w:szCs w:val="32"/>
          <w:highlight w:val="none"/>
          <w:lang w:eastAsia="zh-CN"/>
        </w:rPr>
        <w:t xml:space="preserve"> 临床多疾病场景下甲状腺疾病精准筛查及病情评估</w:t>
      </w:r>
    </w:p>
    <w:p w14:paraId="48AE7064">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一、领域：</w:t>
      </w:r>
      <w:r>
        <w:rPr>
          <w:rFonts w:hint="eastAsia" w:ascii="仿宋_GB2312" w:hAnsi="仿宋_GB2312" w:eastAsia="仿宋_GB2312" w:cs="仿宋_GB2312"/>
          <w:spacing w:val="8"/>
          <w:sz w:val="32"/>
          <w:szCs w:val="32"/>
          <w:highlight w:val="none"/>
          <w:lang w:eastAsia="zh-CN"/>
        </w:rPr>
        <w:t>甲状腺疾病</w:t>
      </w:r>
    </w:p>
    <w:p w14:paraId="671A851E">
      <w:pPr>
        <w:pStyle w:val="3"/>
        <w:spacing w:before="47" w:line="560" w:lineRule="exact"/>
        <w:ind w:right="19"/>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二、主要研究内容</w:t>
      </w:r>
    </w:p>
    <w:p w14:paraId="7F71B31A">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分析现有的甲状腺疾病筛查方法的优缺点及适用范围，包括血清甲状腺激素水平检测、甲状腺超声检查、细针穿刺活检等，并在此基础上探索新型的筛查方法以期提高甲状腺疾病的筛查精度和效率。进一步研究甲状腺疾病的病情评估体系，包括评估指标的选取、评估标准的制定以及评估方法的优化。并通过分析大量甲状腺疾病患者的数据，构建基于大数据的预测模型，以预测患者的疾病发展趋势、治疗效果、参考值制定和共识指南的修订等提供参考依据。</w:t>
      </w:r>
    </w:p>
    <w:p w14:paraId="47F0D92B">
      <w:pPr>
        <w:pStyle w:val="3"/>
        <w:spacing w:before="47" w:line="560" w:lineRule="exact"/>
        <w:ind w:left="720" w:right="19" w:hanging="720"/>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三、项目考核指标（项目执行期内）</w:t>
      </w:r>
    </w:p>
    <w:p w14:paraId="7DC80FAC">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7F0E3D81">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605A8029">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0AF3A04E">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围绕不同人群及疾病场景下甲状腺疾病全程管理的临床诊疗需求，构建基于多模态数据的甲状腺疾病诊断模型，并形成≥1份</w:t>
      </w:r>
      <w:r>
        <w:rPr>
          <w:rFonts w:hint="eastAsia" w:ascii="仿宋_GB2312" w:hAnsi="仿宋_GB2312" w:eastAsia="仿宋_GB2312" w:cs="仿宋_GB2312"/>
          <w:spacing w:val="8"/>
          <w:sz w:val="32"/>
          <w:szCs w:val="32"/>
          <w:highlight w:val="none"/>
          <w:lang w:val="en-US" w:eastAsia="zh-CN"/>
        </w:rPr>
        <w:t>项目</w:t>
      </w:r>
      <w:r>
        <w:rPr>
          <w:rFonts w:hint="eastAsia" w:ascii="仿宋_GB2312" w:hAnsi="仿宋_GB2312" w:eastAsia="仿宋_GB2312" w:cs="仿宋_GB2312"/>
          <w:spacing w:val="8"/>
          <w:sz w:val="32"/>
          <w:szCs w:val="32"/>
          <w:highlight w:val="none"/>
          <w:lang w:eastAsia="zh-CN"/>
        </w:rPr>
        <w:t>分析报告。</w:t>
      </w:r>
    </w:p>
    <w:p w14:paraId="3F598A08">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4063D1CB">
      <w:pPr>
        <w:pStyle w:val="3"/>
        <w:spacing w:before="47" w:line="560" w:lineRule="exact"/>
        <w:ind w:right="19"/>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不超过20万元</w:t>
      </w:r>
    </w:p>
    <w:p w14:paraId="5DB94A59">
      <w:pPr>
        <w:pStyle w:val="3"/>
        <w:spacing w:before="47" w:line="560" w:lineRule="exact"/>
        <w:ind w:right="19"/>
        <w:jc w:val="center"/>
        <w:rPr>
          <w:rFonts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10008</w:t>
      </w:r>
      <w:r>
        <w:rPr>
          <w:rFonts w:hint="eastAsia" w:ascii="黑体" w:hAnsi="黑体" w:eastAsia="黑体" w:cs="黑体"/>
          <w:b/>
          <w:bCs/>
          <w:spacing w:val="8"/>
          <w:sz w:val="32"/>
          <w:szCs w:val="32"/>
          <w:highlight w:val="none"/>
          <w:lang w:eastAsia="zh-CN"/>
        </w:rPr>
        <w:t xml:space="preserve"> 内分泌激素在生长发育或妊娠相关疾病的诊疗价值研究</w:t>
      </w:r>
    </w:p>
    <w:p w14:paraId="28662774">
      <w:pPr>
        <w:pStyle w:val="3"/>
        <w:spacing w:before="47" w:line="560" w:lineRule="exact"/>
        <w:ind w:right="19"/>
        <w:jc w:val="both"/>
        <w:rPr>
          <w:rFonts w:hint="default" w:ascii="仿宋_GB2312" w:hAnsi="仿宋_GB2312" w:eastAsia="仿宋_GB2312" w:cs="仿宋_GB2312"/>
          <w:spacing w:val="8"/>
          <w:sz w:val="32"/>
          <w:szCs w:val="32"/>
          <w:highlight w:val="none"/>
          <w:lang w:val="en-US" w:eastAsia="zh-CN"/>
        </w:rPr>
      </w:pPr>
      <w:r>
        <w:rPr>
          <w:rFonts w:hint="eastAsia" w:ascii="黑体" w:hAnsi="黑体" w:eastAsia="黑体" w:cs="黑体"/>
          <w:spacing w:val="8"/>
          <w:sz w:val="32"/>
          <w:szCs w:val="32"/>
          <w:highlight w:val="none"/>
          <w:lang w:eastAsia="zh-CN"/>
        </w:rPr>
        <w:t>一、领域：</w:t>
      </w:r>
      <w:r>
        <w:rPr>
          <w:rFonts w:hint="eastAsia" w:ascii="仿宋_GB2312" w:hAnsi="仿宋_GB2312" w:eastAsia="仿宋_GB2312" w:cs="仿宋_GB2312"/>
          <w:bCs/>
          <w:spacing w:val="8"/>
          <w:sz w:val="32"/>
          <w:szCs w:val="32"/>
          <w:highlight w:val="none"/>
          <w:lang w:eastAsia="zh-CN"/>
        </w:rPr>
        <w:t>内分泌</w:t>
      </w:r>
      <w:r>
        <w:rPr>
          <w:rFonts w:hint="eastAsia" w:ascii="仿宋_GB2312" w:hAnsi="仿宋_GB2312" w:eastAsia="仿宋_GB2312" w:cs="仿宋_GB2312"/>
          <w:bCs/>
          <w:spacing w:val="8"/>
          <w:sz w:val="32"/>
          <w:szCs w:val="32"/>
          <w:highlight w:val="none"/>
          <w:lang w:val="en-US" w:eastAsia="zh-CN"/>
        </w:rPr>
        <w:t>诊疗</w:t>
      </w:r>
    </w:p>
    <w:p w14:paraId="72044EED">
      <w:pPr>
        <w:pStyle w:val="3"/>
        <w:spacing w:before="47" w:line="560" w:lineRule="exact"/>
        <w:ind w:right="19"/>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二、主要研究内容</w:t>
      </w:r>
    </w:p>
    <w:p w14:paraId="3703D503">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围绕特定人群（包括新生儿、婴幼儿、青少年及孕妇）在生长发育或妊娠相关疾病的诊疗需求，深入探讨生长发育相关内分泌激素在儿童生长发育及妊娠阶段生理学、病理生理学的变化因素以及免疫检测方法学特异性的影响因素，最终确定相关疾病标志物的检测指征、诊断效能、参考范围及诊断价值，为妊娠期和儿童生长发育阶段的内分泌失调的早期诊断和个体化治疗提供科学依据。</w:t>
      </w:r>
    </w:p>
    <w:p w14:paraId="114AF020">
      <w:pPr>
        <w:pStyle w:val="3"/>
        <w:spacing w:before="47" w:line="560" w:lineRule="exact"/>
        <w:ind w:left="720" w:right="19" w:hanging="720"/>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三、项目考核指标（项目执行期内）</w:t>
      </w:r>
    </w:p>
    <w:p w14:paraId="02EAA54A">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3AB8EB47">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1BBC0A9E">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17F003A0">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深入探讨生长发育相关内分泌激素在儿童生长发育及妊娠阶段生理学、病理生理学的变化因素以及免疫检测方法学特异性的影响因素，形成≥1份</w:t>
      </w:r>
      <w:r>
        <w:rPr>
          <w:rFonts w:hint="eastAsia" w:ascii="仿宋_GB2312" w:hAnsi="仿宋_GB2312" w:eastAsia="仿宋_GB2312" w:cs="仿宋_GB2312"/>
          <w:spacing w:val="8"/>
          <w:sz w:val="32"/>
          <w:szCs w:val="32"/>
          <w:highlight w:val="none"/>
          <w:lang w:val="en-US" w:eastAsia="zh-CN"/>
        </w:rPr>
        <w:t>项目</w:t>
      </w:r>
      <w:r>
        <w:rPr>
          <w:rFonts w:hint="eastAsia" w:ascii="仿宋_GB2312" w:hAnsi="仿宋_GB2312" w:eastAsia="仿宋_GB2312" w:cs="仿宋_GB2312"/>
          <w:spacing w:val="8"/>
          <w:sz w:val="32"/>
          <w:szCs w:val="32"/>
          <w:highlight w:val="none"/>
          <w:lang w:eastAsia="zh-CN"/>
        </w:rPr>
        <w:t>分析报告。</w:t>
      </w:r>
    </w:p>
    <w:p w14:paraId="6DC7DBC0">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274651A8">
      <w:pPr>
        <w:pStyle w:val="3"/>
        <w:spacing w:before="47" w:line="560" w:lineRule="exact"/>
        <w:ind w:right="19"/>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不超过20万元</w:t>
      </w:r>
    </w:p>
    <w:p w14:paraId="203E5C0A">
      <w:pPr>
        <w:pStyle w:val="3"/>
        <w:spacing w:before="47" w:line="560" w:lineRule="exact"/>
        <w:ind w:right="19"/>
        <w:rPr>
          <w:rFonts w:ascii="仿宋_GB2312" w:hAnsi="仿宋_GB2312" w:eastAsia="仿宋_GB2312" w:cs="仿宋_GB2312"/>
          <w:spacing w:val="8"/>
          <w:sz w:val="32"/>
          <w:szCs w:val="32"/>
          <w:highlight w:val="none"/>
          <w:lang w:eastAsia="zh-CN"/>
        </w:rPr>
      </w:pPr>
    </w:p>
    <w:p w14:paraId="23C763E1">
      <w:pPr>
        <w:pStyle w:val="3"/>
        <w:spacing w:before="47" w:line="560" w:lineRule="exact"/>
        <w:ind w:right="19"/>
        <w:jc w:val="center"/>
        <w:rPr>
          <w:rFonts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eastAsia="zh-CN"/>
        </w:rPr>
        <w:t>面2025</w:t>
      </w:r>
      <w:r>
        <w:rPr>
          <w:rFonts w:ascii="黑体" w:hAnsi="黑体" w:eastAsia="黑体" w:cs="黑体"/>
          <w:b/>
          <w:bCs/>
          <w:spacing w:val="8"/>
          <w:sz w:val="32"/>
          <w:szCs w:val="32"/>
          <w:highlight w:val="none"/>
          <w:lang w:eastAsia="zh-CN"/>
        </w:rPr>
        <w:t>10009</w:t>
      </w:r>
      <w:r>
        <w:rPr>
          <w:rFonts w:hint="eastAsia" w:ascii="黑体" w:hAnsi="黑体" w:eastAsia="黑体" w:cs="黑体"/>
          <w:b/>
          <w:bCs/>
          <w:spacing w:val="8"/>
          <w:sz w:val="32"/>
          <w:szCs w:val="32"/>
          <w:highlight w:val="none"/>
          <w:lang w:eastAsia="zh-CN"/>
        </w:rPr>
        <w:t xml:space="preserve"> 心脏标志物在心血管疾病风险预测、诊断、疗效与预后评估的应用研究</w:t>
      </w:r>
    </w:p>
    <w:p w14:paraId="0B295F1C">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一、领域：</w:t>
      </w:r>
      <w:r>
        <w:rPr>
          <w:rFonts w:hint="eastAsia" w:ascii="仿宋_GB2312" w:hAnsi="仿宋_GB2312" w:eastAsia="仿宋_GB2312" w:cs="仿宋_GB2312"/>
          <w:bCs/>
          <w:spacing w:val="8"/>
          <w:sz w:val="32"/>
          <w:szCs w:val="32"/>
          <w:highlight w:val="none"/>
          <w:lang w:eastAsia="zh-CN"/>
        </w:rPr>
        <w:t>心血管疾病</w:t>
      </w:r>
    </w:p>
    <w:p w14:paraId="4D325B16">
      <w:pPr>
        <w:pStyle w:val="3"/>
        <w:spacing w:before="47" w:line="560" w:lineRule="exact"/>
        <w:ind w:right="19"/>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二、主要研究内容</w:t>
      </w:r>
    </w:p>
    <w:p w14:paraId="41C1A205">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探讨心脏标志物（hs-cTnI等）在高血压、糖尿病、慢性肾病、高脂血症、感染性疾病、急重症等患者中发生不良心血管事件的筛查指征、参考范围、诊断价值，为优化不同人群心血管事件的预测、诊断、疗效与预后评估提供科学依据。</w:t>
      </w:r>
    </w:p>
    <w:p w14:paraId="03BC6701">
      <w:pPr>
        <w:pStyle w:val="3"/>
        <w:spacing w:before="47" w:line="560" w:lineRule="exact"/>
        <w:ind w:left="720" w:right="19" w:hanging="720"/>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三、项目考核指标（项目执行期内）</w:t>
      </w:r>
    </w:p>
    <w:p w14:paraId="6DC84224">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6EE11EE0">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706770C4">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4B5E043E">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心脏标志物（hs-cTnI等）在高血压、糖尿病、慢性肾病、高脂血症、感染性疾病、急重症等患者中发生不良心血管的诊断价值研究，形成≥1份</w:t>
      </w:r>
      <w:r>
        <w:rPr>
          <w:rFonts w:hint="eastAsia" w:ascii="仿宋_GB2312" w:hAnsi="仿宋_GB2312" w:eastAsia="仿宋_GB2312" w:cs="仿宋_GB2312"/>
          <w:spacing w:val="8"/>
          <w:sz w:val="32"/>
          <w:szCs w:val="32"/>
          <w:highlight w:val="none"/>
          <w:lang w:val="en-US" w:eastAsia="zh-CN"/>
        </w:rPr>
        <w:t>项目</w:t>
      </w:r>
      <w:r>
        <w:rPr>
          <w:rFonts w:hint="eastAsia" w:ascii="仿宋_GB2312" w:hAnsi="仿宋_GB2312" w:eastAsia="仿宋_GB2312" w:cs="仿宋_GB2312"/>
          <w:spacing w:val="8"/>
          <w:sz w:val="32"/>
          <w:szCs w:val="32"/>
          <w:highlight w:val="none"/>
          <w:lang w:eastAsia="zh-CN"/>
        </w:rPr>
        <w:t>分析报告。</w:t>
      </w:r>
    </w:p>
    <w:p w14:paraId="70D58DDF">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4BB08B90">
      <w:pPr>
        <w:pStyle w:val="3"/>
        <w:spacing w:before="47" w:line="560" w:lineRule="exact"/>
        <w:ind w:right="19"/>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不超过20万元</w:t>
      </w:r>
    </w:p>
    <w:p w14:paraId="1E7026C5">
      <w:pPr>
        <w:pStyle w:val="3"/>
        <w:spacing w:before="47" w:line="560" w:lineRule="exact"/>
        <w:ind w:right="19"/>
        <w:rPr>
          <w:rFonts w:ascii="仿宋_GB2312" w:hAnsi="仿宋_GB2312" w:eastAsia="仿宋_GB2312" w:cs="仿宋_GB2312"/>
          <w:spacing w:val="8"/>
          <w:sz w:val="32"/>
          <w:szCs w:val="32"/>
          <w:highlight w:val="none"/>
          <w:lang w:eastAsia="zh-CN"/>
        </w:rPr>
      </w:pPr>
    </w:p>
    <w:p w14:paraId="3F1786CE">
      <w:pPr>
        <w:pStyle w:val="3"/>
        <w:spacing w:before="47" w:line="560" w:lineRule="exact"/>
        <w:ind w:right="19"/>
        <w:rPr>
          <w:rFonts w:ascii="仿宋_GB2312" w:hAnsi="仿宋_GB2312" w:eastAsia="仿宋_GB2312" w:cs="仿宋_GB2312"/>
          <w:spacing w:val="8"/>
          <w:sz w:val="32"/>
          <w:szCs w:val="32"/>
          <w:highlight w:val="none"/>
          <w:lang w:eastAsia="zh-CN"/>
        </w:rPr>
      </w:pPr>
    </w:p>
    <w:p w14:paraId="59F81E6C">
      <w:pPr>
        <w:pStyle w:val="3"/>
        <w:spacing w:before="47" w:line="560" w:lineRule="exact"/>
        <w:ind w:right="19"/>
        <w:rPr>
          <w:rFonts w:ascii="仿宋_GB2312" w:hAnsi="仿宋_GB2312" w:eastAsia="仿宋_GB2312" w:cs="仿宋_GB2312"/>
          <w:spacing w:val="8"/>
          <w:sz w:val="32"/>
          <w:szCs w:val="32"/>
          <w:highlight w:val="none"/>
          <w:lang w:eastAsia="zh-CN"/>
        </w:rPr>
      </w:pPr>
    </w:p>
    <w:p w14:paraId="79828B14">
      <w:pPr>
        <w:pStyle w:val="3"/>
        <w:spacing w:before="47" w:line="560" w:lineRule="exact"/>
        <w:ind w:right="19"/>
        <w:rPr>
          <w:rFonts w:ascii="仿宋_GB2312" w:hAnsi="仿宋_GB2312" w:eastAsia="仿宋_GB2312" w:cs="仿宋_GB2312"/>
          <w:spacing w:val="8"/>
          <w:sz w:val="32"/>
          <w:szCs w:val="32"/>
          <w:highlight w:val="none"/>
          <w:lang w:eastAsia="zh-CN"/>
        </w:rPr>
      </w:pPr>
    </w:p>
    <w:p w14:paraId="3A129605">
      <w:pPr>
        <w:pStyle w:val="3"/>
        <w:spacing w:before="47" w:line="560" w:lineRule="exact"/>
        <w:ind w:right="19"/>
        <w:jc w:val="center"/>
        <w:rPr>
          <w:rFonts w:hint="eastAsia"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10010 </w:t>
      </w:r>
      <w:r>
        <w:rPr>
          <w:rFonts w:hint="eastAsia" w:ascii="黑体" w:hAnsi="黑体" w:eastAsia="黑体" w:cs="黑体"/>
          <w:b/>
          <w:bCs/>
          <w:spacing w:val="8"/>
          <w:sz w:val="32"/>
          <w:szCs w:val="32"/>
          <w:highlight w:val="none"/>
          <w:lang w:eastAsia="zh-CN"/>
        </w:rPr>
        <w:t>基于机器学习探讨血液生化指标在儿童营养状况的评估作用</w:t>
      </w:r>
    </w:p>
    <w:p w14:paraId="3CBE47D3">
      <w:pPr>
        <w:spacing w:before="91" w:line="560" w:lineRule="exact"/>
        <w:ind w:right="248"/>
        <w:jc w:val="both"/>
        <w:outlineLvl w:val="0"/>
        <w:rPr>
          <w:rFonts w:hint="eastAsia" w:ascii="仿宋_GB2312" w:hAnsi="仿宋_GB2312" w:eastAsia="仿宋_GB2312" w:cs="仿宋_GB2312"/>
          <w:bCs/>
          <w:spacing w:val="8"/>
          <w:sz w:val="32"/>
          <w:szCs w:val="32"/>
          <w:highlight w:val="none"/>
          <w:lang w:eastAsia="zh-CN"/>
        </w:rPr>
      </w:pPr>
      <w:r>
        <w:rPr>
          <w:rFonts w:hint="eastAsia" w:ascii="黑体" w:hAnsi="黑体" w:eastAsia="黑体" w:cs="黑体"/>
          <w:b w:val="0"/>
          <w:bCs w:val="0"/>
          <w:spacing w:val="8"/>
          <w:sz w:val="32"/>
          <w:szCs w:val="32"/>
          <w:highlight w:val="none"/>
          <w:lang w:eastAsia="zh-CN"/>
        </w:rPr>
        <w:t>一、领域：</w:t>
      </w:r>
      <w:r>
        <w:rPr>
          <w:rFonts w:hint="eastAsia" w:ascii="仿宋_GB2312" w:hAnsi="仿宋_GB2312" w:eastAsia="仿宋_GB2312" w:cs="仿宋_GB2312"/>
          <w:bCs/>
          <w:spacing w:val="8"/>
          <w:sz w:val="32"/>
          <w:szCs w:val="32"/>
          <w:highlight w:val="none"/>
          <w:lang w:eastAsia="zh-CN"/>
        </w:rPr>
        <w:t>儿童营养</w:t>
      </w:r>
    </w:p>
    <w:p w14:paraId="120B51BF">
      <w:pPr>
        <w:spacing w:before="91" w:line="560" w:lineRule="exact"/>
        <w:ind w:right="248"/>
        <w:jc w:val="both"/>
        <w:outlineLvl w:val="0"/>
        <w:rPr>
          <w:rFonts w:hint="eastAsia" w:ascii="黑体" w:hAnsi="黑体" w:eastAsia="黑体" w:cs="黑体"/>
          <w:b w:val="0"/>
          <w:bCs w:val="0"/>
          <w:spacing w:val="8"/>
          <w:sz w:val="32"/>
          <w:szCs w:val="32"/>
          <w:highlight w:val="none"/>
          <w:lang w:eastAsia="zh-CN"/>
        </w:rPr>
      </w:pPr>
      <w:r>
        <w:rPr>
          <w:rFonts w:hint="eastAsia" w:ascii="黑体" w:hAnsi="黑体" w:eastAsia="黑体" w:cs="黑体"/>
          <w:b w:val="0"/>
          <w:bCs w:val="0"/>
          <w:spacing w:val="8"/>
          <w:sz w:val="32"/>
          <w:szCs w:val="32"/>
          <w:highlight w:val="none"/>
          <w:lang w:eastAsia="zh-CN"/>
        </w:rPr>
        <w:t>二、主要研究内容</w:t>
      </w:r>
    </w:p>
    <w:p w14:paraId="3A5AFC62">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随着社会经济快速发展，人民物质水平日益提高，高热量、高脂、高糖等食物过量摄入引起儿童超重肥胖问题日益凸显。开展血液中营养与代谢相关生化指标对预测儿童营养状况的相关研究。研究内容要覆盖尽量多的不同营养水平儿童受试者类型，可采用身体质量指数（BMI）协助分组；</w:t>
      </w:r>
    </w:p>
    <w:p w14:paraId="6FDA79E7">
      <w:pPr>
        <w:spacing w:before="91" w:line="560" w:lineRule="exact"/>
        <w:ind w:right="248"/>
        <w:jc w:val="both"/>
        <w:outlineLvl w:val="0"/>
        <w:rPr>
          <w:rFonts w:hint="eastAsia" w:ascii="黑体" w:hAnsi="黑体" w:eastAsia="黑体" w:cs="黑体"/>
          <w:b w:val="0"/>
          <w:bCs w:val="0"/>
          <w:spacing w:val="8"/>
          <w:sz w:val="32"/>
          <w:szCs w:val="32"/>
          <w:highlight w:val="none"/>
          <w:lang w:eastAsia="zh-CN"/>
        </w:rPr>
      </w:pPr>
      <w:r>
        <w:rPr>
          <w:rFonts w:hint="eastAsia" w:ascii="黑体" w:hAnsi="黑体" w:eastAsia="黑体" w:cs="黑体"/>
          <w:b w:val="0"/>
          <w:bCs w:val="0"/>
          <w:spacing w:val="8"/>
          <w:sz w:val="32"/>
          <w:szCs w:val="32"/>
          <w:highlight w:val="none"/>
          <w:lang w:eastAsia="zh-CN"/>
        </w:rPr>
        <w:t>三、项目考核指标（项目执行期内）</w:t>
      </w:r>
    </w:p>
    <w:p w14:paraId="264CCF0F">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（一）学术指标：</w:t>
      </w:r>
    </w:p>
    <w:p w14:paraId="0A3D8148">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发表中文或SCI论文≥1篇；</w:t>
      </w:r>
    </w:p>
    <w:p w14:paraId="0075F4F7">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（二）技术指标：</w:t>
      </w:r>
    </w:p>
    <w:p w14:paraId="6963EF90">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基于儿童的临床数据，包括临床一般资料、既往病史、血液生化指标等相关指标数据的研究，建立儿童早期营养不良诊断的最优机器学习算法模型，输出分析儿童生长发育过程中营养不良相关风险因素的评估报告≥1份。</w:t>
      </w:r>
    </w:p>
    <w:p w14:paraId="566614D3">
      <w:pPr>
        <w:spacing w:before="91" w:line="560" w:lineRule="exact"/>
        <w:ind w:right="248"/>
        <w:jc w:val="both"/>
        <w:outlineLvl w:val="0"/>
        <w:rPr>
          <w:rFonts w:hint="eastAsia" w:ascii="仿宋_GB2312" w:hAnsi="仿宋_GB2312" w:eastAsia="仿宋_GB2312" w:cs="仿宋_GB2312"/>
          <w:bCs/>
          <w:spacing w:val="8"/>
          <w:sz w:val="32"/>
          <w:szCs w:val="32"/>
          <w:highlight w:val="none"/>
          <w:lang w:eastAsia="zh-CN"/>
        </w:rPr>
      </w:pPr>
      <w:r>
        <w:rPr>
          <w:rFonts w:hint="eastAsia" w:ascii="黑体" w:hAnsi="黑体" w:eastAsia="黑体" w:cs="黑体"/>
          <w:b w:val="0"/>
          <w:bCs w:val="0"/>
          <w:spacing w:val="8"/>
          <w:sz w:val="32"/>
          <w:szCs w:val="32"/>
          <w:highlight w:val="none"/>
          <w:lang w:eastAsia="zh-CN"/>
        </w:rPr>
        <w:t>四、项目实施年限：</w:t>
      </w:r>
      <w:r>
        <w:rPr>
          <w:rFonts w:hint="eastAsia" w:ascii="仿宋_GB2312" w:hAnsi="仿宋_GB2312" w:eastAsia="仿宋_GB2312" w:cs="仿宋_GB2312"/>
          <w:bCs/>
          <w:spacing w:val="8"/>
          <w:sz w:val="32"/>
          <w:szCs w:val="32"/>
          <w:highlight w:val="none"/>
          <w:lang w:eastAsia="zh-CN"/>
        </w:rPr>
        <w:t>不超过2年</w:t>
      </w:r>
    </w:p>
    <w:p w14:paraId="51B358D8">
      <w:pPr>
        <w:spacing w:before="91" w:line="560" w:lineRule="exact"/>
        <w:ind w:right="248"/>
        <w:jc w:val="both"/>
        <w:outlineLvl w:val="0"/>
        <w:rPr>
          <w:rFonts w:hint="eastAsia" w:ascii="仿宋_GB2312" w:hAnsi="仿宋_GB2312" w:eastAsia="仿宋_GB2312" w:cs="仿宋_GB2312"/>
          <w:bCs/>
          <w:spacing w:val="8"/>
          <w:sz w:val="32"/>
          <w:szCs w:val="32"/>
          <w:highlight w:val="none"/>
          <w:lang w:eastAsia="zh-CN"/>
        </w:rPr>
      </w:pPr>
      <w:r>
        <w:rPr>
          <w:rFonts w:hint="eastAsia" w:ascii="黑体" w:hAnsi="黑体" w:eastAsia="黑体" w:cs="黑体"/>
          <w:b w:val="0"/>
          <w:bCs w:val="0"/>
          <w:spacing w:val="8"/>
          <w:sz w:val="32"/>
          <w:szCs w:val="32"/>
          <w:highlight w:val="none"/>
          <w:lang w:eastAsia="zh-CN"/>
        </w:rPr>
        <w:t>五、资助金额：</w:t>
      </w:r>
      <w:r>
        <w:rPr>
          <w:rFonts w:hint="eastAsia" w:ascii="仿宋_GB2312" w:hAnsi="仿宋_GB2312" w:eastAsia="仿宋_GB2312" w:cs="仿宋_GB2312"/>
          <w:bCs/>
          <w:spacing w:val="8"/>
          <w:sz w:val="32"/>
          <w:szCs w:val="32"/>
          <w:highlight w:val="none"/>
          <w:lang w:eastAsia="zh-CN"/>
        </w:rPr>
        <w:t>不超过2万元</w:t>
      </w:r>
    </w:p>
    <w:p w14:paraId="7E5C0F10">
      <w:pPr>
        <w:spacing w:before="91" w:line="560" w:lineRule="exact"/>
        <w:ind w:right="248"/>
        <w:jc w:val="both"/>
        <w:outlineLvl w:val="0"/>
        <w:rPr>
          <w:rFonts w:hint="eastAsia" w:ascii="仿宋_GB2312" w:hAnsi="仿宋_GB2312" w:eastAsia="仿宋_GB2312" w:cs="仿宋_GB2312"/>
          <w:bCs/>
          <w:spacing w:val="8"/>
          <w:sz w:val="32"/>
          <w:szCs w:val="32"/>
          <w:highlight w:val="none"/>
          <w:lang w:eastAsia="zh-CN"/>
        </w:rPr>
      </w:pPr>
    </w:p>
    <w:p w14:paraId="6E9D799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Theme="minorEastAsia"/>
          <w:b/>
          <w:bCs/>
          <w:sz w:val="32"/>
          <w:highlight w:val="none"/>
        </w:rPr>
      </w:pPr>
    </w:p>
    <w:p w14:paraId="6A45A35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z w:val="32"/>
          <w:highlight w:val="none"/>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10011 </w:t>
      </w:r>
      <w:r>
        <w:rPr>
          <w:rFonts w:hint="eastAsia" w:ascii="黑体" w:hAnsi="黑体" w:eastAsia="黑体" w:cs="黑体"/>
          <w:b/>
          <w:bCs/>
          <w:sz w:val="32"/>
          <w:highlight w:val="none"/>
        </w:rPr>
        <w:t>肺炎克雷伯菌通过PBP1B-TLR4轴驱动结直肠癌的机制与干预策略研究</w:t>
      </w:r>
    </w:p>
    <w:p w14:paraId="78C0F545">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Times New Roman" w:hAnsi="Times New Roman"/>
          <w:sz w:val="24"/>
          <w:highlight w:val="none"/>
        </w:rPr>
      </w:pPr>
      <w:r>
        <w:rPr>
          <w:rFonts w:hint="eastAsia" w:ascii="黑体" w:hAnsi="黑体" w:eastAsia="黑体" w:cs="黑体"/>
          <w:sz w:val="32"/>
          <w:szCs w:val="32"/>
          <w:highlight w:val="none"/>
        </w:rPr>
        <w:t>一、领域：</w:t>
      </w:r>
      <w:r>
        <w:rPr>
          <w:rFonts w:hint="eastAsia" w:ascii="仿宋_GB2312" w:hAnsi="仿宋_GB2312" w:eastAsia="仿宋_GB2312" w:cs="仿宋_GB2312"/>
          <w:sz w:val="32"/>
          <w:szCs w:val="32"/>
          <w:highlight w:val="none"/>
        </w:rPr>
        <w:t>医学微生物学与肿瘤学</w:t>
      </w:r>
    </w:p>
    <w:p w14:paraId="25E64ACF">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二、主要研究内容</w:t>
      </w:r>
    </w:p>
    <w:p w14:paraId="08C8B267">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肺炎克雷伯菌（Kp）与结直肠癌（CRC），特别是早发性CRC的关联，通过临床队列分析、体内外功能实验和干预策略研究，深入探讨Kp（尤其是CR-hvKP菌株）在肠道中的定植特征与临床病理关系，揭示其表面蛋白PBP1B通过激活TLR4/MyD88/NF-κB信号通路破坏肠道屏障、诱导炎症及促进肿瘤发生的分子机制，并评估靶向Kp定植（益生菌竞争）和阻断下游信号（TLR4抑制剂）的干预策略效果，为Kp相关CRC的早期诊断、风险分层和精准防治提供新靶点和实验依据。</w:t>
      </w:r>
    </w:p>
    <w:p w14:paraId="7A5CBCBA">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三、项目考核指标（项目执行期内）</w:t>
      </w:r>
    </w:p>
    <w:p w14:paraId="442803C2">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（一）学术指标：</w:t>
      </w:r>
    </w:p>
    <w:p w14:paraId="5F56612E">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发表</w:t>
      </w:r>
      <w:r>
        <w:rPr>
          <w:rFonts w:hint="eastAsia" w:ascii="仿宋_GB2312" w:hAnsi="仿宋_GB2312" w:eastAsia="仿宋_GB2312" w:cs="仿宋_GB2312"/>
          <w:bCs/>
          <w:spacing w:val="8"/>
          <w:sz w:val="32"/>
          <w:szCs w:val="32"/>
          <w:highlight w:val="none"/>
          <w:lang w:eastAsia="zh-CN"/>
        </w:rPr>
        <w:t>中文或SCI论文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篇；</w:t>
      </w:r>
    </w:p>
    <w:p w14:paraId="31C6BAB6">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（二）技术指标：</w:t>
      </w:r>
    </w:p>
    <w:p w14:paraId="6A1FF48F">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基于以上研究内容</w:t>
      </w:r>
      <w:r>
        <w:rPr>
          <w:rFonts w:hint="eastAsia" w:ascii="仿宋_GB2312" w:hAnsi="仿宋_GB2312" w:eastAsia="仿宋_GB2312" w:cs="仿宋_GB2312"/>
          <w:sz w:val="32"/>
          <w:szCs w:val="32"/>
          <w:highlight w:val="none"/>
        </w:rPr>
        <w:t>形成≥1份</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分析报告，系统阐述Kp‑PBP1B‑TLR4轴在CRC中的作用机制、临床关联性及干预策略，并提交完整的菌株基因组数据库、动物模型标准操作流程及关键实验数据。</w:t>
      </w:r>
    </w:p>
    <w:p w14:paraId="6CC11AB7">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Times New Roman" w:hAnsi="Times New Roman"/>
          <w:sz w:val="24"/>
          <w:highlight w:val="none"/>
        </w:rPr>
      </w:pPr>
      <w:r>
        <w:rPr>
          <w:rFonts w:hint="eastAsia" w:ascii="黑体" w:hAnsi="黑体" w:eastAsia="黑体" w:cs="黑体"/>
          <w:sz w:val="32"/>
          <w:szCs w:val="32"/>
          <w:highlight w:val="none"/>
        </w:rPr>
        <w:t>四、项目实施年限</w:t>
      </w:r>
      <w:r>
        <w:rPr>
          <w:rFonts w:hint="eastAsia" w:ascii="黑体" w:hAnsi="黑体" w:eastAsia="黑体" w:cs="黑体"/>
          <w:b/>
          <w:bCs/>
          <w:sz w:val="24"/>
          <w:highlight w:val="none"/>
        </w:rPr>
        <w:t>：</w:t>
      </w:r>
      <w:r>
        <w:rPr>
          <w:rFonts w:hint="eastAsia" w:ascii="仿宋_GB2312" w:hAnsi="仿宋_GB2312" w:eastAsia="仿宋_GB2312" w:cs="仿宋_GB2312"/>
          <w:sz w:val="32"/>
          <w:szCs w:val="32"/>
          <w:highlight w:val="none"/>
        </w:rPr>
        <w:t>不超过2年</w:t>
      </w:r>
    </w:p>
    <w:p w14:paraId="44841C70">
      <w:pPr>
        <w:widowControl w:val="0"/>
        <w:kinsoku/>
        <w:autoSpaceDE/>
        <w:autoSpaceDN/>
        <w:adjustRightInd/>
        <w:snapToGrid/>
        <w:spacing w:before="157" w:beforeLines="50" w:line="300" w:lineRule="auto"/>
        <w:textAlignment w:val="auto"/>
        <w:rPr>
          <w:rFonts w:hint="eastAsia" w:ascii="黑体" w:hAnsi="黑体" w:eastAsia="黑体" w:cs="黑体"/>
          <w:b/>
          <w:bCs/>
          <w:spacing w:val="8"/>
          <w:sz w:val="32"/>
          <w:szCs w:val="32"/>
          <w:highlight w:val="none"/>
          <w:lang w:val="en-US" w:eastAsia="zh-CN"/>
        </w:rPr>
      </w:pPr>
      <w:r>
        <w:rPr>
          <w:rFonts w:hint="eastAsia" w:ascii="黑体" w:hAnsi="黑体" w:eastAsia="黑体" w:cs="黑体"/>
          <w:sz w:val="32"/>
          <w:szCs w:val="32"/>
          <w:highlight w:val="none"/>
        </w:rPr>
        <w:t>五、资助金额</w:t>
      </w:r>
      <w:r>
        <w:rPr>
          <w:rFonts w:hint="eastAsia" w:ascii="黑体" w:hAnsi="黑体" w:eastAsia="黑体" w:cs="黑体"/>
          <w:b/>
          <w:bCs/>
          <w:sz w:val="24"/>
          <w:highlight w:val="none"/>
        </w:rPr>
        <w:t>：</w:t>
      </w:r>
      <w:r>
        <w:rPr>
          <w:rFonts w:hint="eastAsia"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0万元</w:t>
      </w:r>
    </w:p>
    <w:p w14:paraId="4CFC1172">
      <w:pPr>
        <w:pStyle w:val="3"/>
        <w:spacing w:line="560" w:lineRule="exact"/>
        <w:jc w:val="center"/>
        <w:rPr>
          <w:rFonts w:hint="eastAsia" w:ascii="仿宋_GB2312" w:hAnsi="仿宋_GB2312" w:eastAsia="仿宋_GB2312" w:cs="仿宋_GB2312"/>
          <w:b w:val="0"/>
          <w:bCs w:val="0"/>
          <w:spacing w:val="8"/>
          <w:sz w:val="32"/>
          <w:szCs w:val="32"/>
          <w:highlight w:val="none"/>
          <w:lang w:eastAsia="zh-CN"/>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10012 长链非编码RNA调控孤独症的作用机制与临床应用研究</w:t>
      </w:r>
    </w:p>
    <w:p w14:paraId="36E7ED7C">
      <w:pPr>
        <w:pStyle w:val="3"/>
        <w:spacing w:before="47" w:line="560" w:lineRule="exact"/>
        <w:ind w:right="19"/>
        <w:jc w:val="both"/>
        <w:rPr>
          <w:rFonts w:hint="default" w:ascii="仿宋_GB2312" w:hAnsi="仿宋_GB2312" w:eastAsia="仿宋_GB2312" w:cs="仿宋_GB2312"/>
          <w:b w:val="0"/>
          <w:bCs w:val="0"/>
          <w:spacing w:val="8"/>
          <w:sz w:val="32"/>
          <w:szCs w:val="32"/>
          <w:highlight w:val="none"/>
          <w:lang w:val="en-US" w:eastAsia="zh-CN"/>
        </w:rPr>
      </w:pPr>
      <w:r>
        <w:rPr>
          <w:rFonts w:hint="eastAsia" w:ascii="黑体" w:hAnsi="黑体" w:eastAsia="黑体" w:cs="黑体"/>
          <w:b w:val="0"/>
          <w:bCs w:val="0"/>
          <w:spacing w:val="8"/>
          <w:sz w:val="32"/>
          <w:szCs w:val="32"/>
          <w:highlight w:val="none"/>
          <w:lang w:eastAsia="zh-CN"/>
        </w:rPr>
        <w:t>一、领域：</w:t>
      </w:r>
      <w:r>
        <w:rPr>
          <w:rFonts w:hint="eastAsia" w:ascii="仿宋_GB2312" w:hAnsi="仿宋_GB2312" w:eastAsia="仿宋_GB2312" w:cs="仿宋_GB2312"/>
          <w:b w:val="0"/>
          <w:bCs w:val="0"/>
          <w:spacing w:val="8"/>
          <w:sz w:val="32"/>
          <w:szCs w:val="32"/>
          <w:highlight w:val="none"/>
          <w:lang w:eastAsia="zh-CN"/>
        </w:rPr>
        <w:t>筛查、</w:t>
      </w:r>
      <w:r>
        <w:rPr>
          <w:rFonts w:hint="eastAsia" w:ascii="仿宋_GB2312" w:hAnsi="仿宋_GB2312" w:eastAsia="仿宋_GB2312" w:cs="仿宋_GB2312"/>
          <w:b w:val="0"/>
          <w:bCs w:val="0"/>
          <w:spacing w:val="8"/>
          <w:sz w:val="32"/>
          <w:szCs w:val="32"/>
          <w:highlight w:val="none"/>
          <w:lang w:val="en-US" w:eastAsia="zh-CN"/>
        </w:rPr>
        <w:t>孤独症、分子机制研究</w:t>
      </w:r>
    </w:p>
    <w:p w14:paraId="13101B50">
      <w:pPr>
        <w:pStyle w:val="3"/>
        <w:spacing w:before="47" w:line="560" w:lineRule="exact"/>
        <w:ind w:right="19"/>
        <w:jc w:val="both"/>
        <w:rPr>
          <w:rFonts w:hint="eastAsia" w:ascii="黑体" w:hAnsi="黑体" w:eastAsia="黑体" w:cs="黑体"/>
          <w:b w:val="0"/>
          <w:bCs w:val="0"/>
          <w:spacing w:val="8"/>
          <w:sz w:val="32"/>
          <w:szCs w:val="32"/>
          <w:highlight w:val="none"/>
          <w:lang w:eastAsia="zh-CN"/>
        </w:rPr>
      </w:pPr>
      <w:r>
        <w:rPr>
          <w:rFonts w:hint="eastAsia" w:ascii="黑体" w:hAnsi="黑体" w:eastAsia="黑体" w:cs="黑体"/>
          <w:b w:val="0"/>
          <w:bCs w:val="0"/>
          <w:spacing w:val="8"/>
          <w:sz w:val="32"/>
          <w:szCs w:val="32"/>
          <w:highlight w:val="none"/>
          <w:lang w:eastAsia="zh-CN"/>
        </w:rPr>
        <w:t>二、主要研究内容</w:t>
      </w:r>
    </w:p>
    <w:p w14:paraId="3E22AA90">
      <w:pPr>
        <w:pStyle w:val="3"/>
        <w:numPr>
          <w:ilvl w:val="0"/>
          <w:numId w:val="0"/>
        </w:numPr>
        <w:spacing w:before="47" w:line="560" w:lineRule="exact"/>
        <w:ind w:right="19" w:firstLine="672" w:firstLineChars="200"/>
        <w:jc w:val="both"/>
        <w:rPr>
          <w:rFonts w:hint="eastAsia" w:ascii="仿宋_GB2312" w:hAnsi="仿宋_GB2312" w:eastAsia="仿宋_GB2312" w:cs="仿宋_GB2312"/>
          <w:b w:val="0"/>
          <w:bCs w:val="0"/>
          <w:spacing w:val="8"/>
          <w:sz w:val="32"/>
          <w:szCs w:val="32"/>
          <w:highlight w:val="none"/>
          <w:lang w:eastAsia="zh-CN"/>
        </w:rPr>
      </w:pPr>
      <w:r>
        <w:rPr>
          <w:rFonts w:hint="eastAsia" w:ascii="仿宋_GB2312" w:hAnsi="仿宋_GB2312" w:eastAsia="仿宋_GB2312" w:cs="仿宋_GB2312"/>
          <w:b w:val="0"/>
          <w:bCs w:val="0"/>
          <w:spacing w:val="8"/>
          <w:sz w:val="32"/>
          <w:szCs w:val="32"/>
          <w:highlight w:val="none"/>
          <w:lang w:eastAsia="zh-CN"/>
        </w:rPr>
        <w:t>项目聚焦自闭症谱系障碍的分子机制研究，特别是从长链非编码与微小相互作用的角度，探索其在自闭症发生发展中的作用。通过深入研究</w:t>
      </w:r>
      <w:r>
        <w:rPr>
          <w:rFonts w:hint="eastAsia" w:ascii="仿宋_GB2312" w:hAnsi="仿宋_GB2312" w:eastAsia="仿宋_GB2312" w:cs="仿宋_GB2312"/>
          <w:b w:val="0"/>
          <w:bCs w:val="0"/>
          <w:spacing w:val="8"/>
          <w:sz w:val="32"/>
          <w:szCs w:val="32"/>
          <w:highlight w:val="none"/>
          <w:lang w:val="en-US" w:eastAsia="zh-CN"/>
        </w:rPr>
        <w:t>相关</w:t>
      </w:r>
      <w:r>
        <w:rPr>
          <w:rFonts w:hint="eastAsia" w:ascii="仿宋_GB2312" w:hAnsi="仿宋_GB2312" w:eastAsia="仿宋_GB2312" w:cs="仿宋_GB2312"/>
          <w:b w:val="0"/>
          <w:bCs w:val="0"/>
          <w:spacing w:val="8"/>
          <w:sz w:val="32"/>
          <w:szCs w:val="32"/>
          <w:highlight w:val="none"/>
          <w:lang w:eastAsia="zh-CN"/>
        </w:rPr>
        <w:t>信号通路介导的线粒体自噬在自闭症中的机制，旨在为自闭症的早期诊断和治疗提供新的理论依据和潜在靶点。这一领域属于神经科学与分子生物学的交叉领域，具有重要的科学意义和临床应用前景。</w:t>
      </w:r>
    </w:p>
    <w:p w14:paraId="1A2EC609">
      <w:pPr>
        <w:pStyle w:val="3"/>
        <w:numPr>
          <w:ilvl w:val="0"/>
          <w:numId w:val="0"/>
        </w:numPr>
        <w:spacing w:before="47" w:line="560" w:lineRule="exact"/>
        <w:ind w:right="19"/>
        <w:jc w:val="both"/>
        <w:rPr>
          <w:rFonts w:hint="eastAsia" w:ascii="黑体" w:hAnsi="黑体" w:eastAsia="黑体" w:cs="黑体"/>
          <w:b w:val="0"/>
          <w:bCs w:val="0"/>
          <w:spacing w:val="8"/>
          <w:sz w:val="32"/>
          <w:szCs w:val="32"/>
          <w:highlight w:val="none"/>
          <w:lang w:eastAsia="zh-CN"/>
        </w:rPr>
      </w:pPr>
      <w:r>
        <w:rPr>
          <w:rFonts w:hint="eastAsia" w:ascii="黑体" w:hAnsi="黑体" w:eastAsia="黑体" w:cs="黑体"/>
          <w:b w:val="0"/>
          <w:bCs w:val="0"/>
          <w:snapToGrid w:val="0"/>
          <w:color w:val="000000"/>
          <w:spacing w:val="8"/>
          <w:sz w:val="32"/>
          <w:szCs w:val="32"/>
          <w:highlight w:val="none"/>
          <w:lang w:val="en-US" w:eastAsia="zh-CN" w:bidi="ar-SA"/>
        </w:rPr>
        <w:t>三、</w:t>
      </w:r>
      <w:r>
        <w:rPr>
          <w:rFonts w:hint="eastAsia" w:ascii="黑体" w:hAnsi="黑体" w:eastAsia="黑体" w:cs="黑体"/>
          <w:b w:val="0"/>
          <w:bCs w:val="0"/>
          <w:spacing w:val="8"/>
          <w:sz w:val="32"/>
          <w:szCs w:val="32"/>
          <w:highlight w:val="none"/>
          <w:lang w:eastAsia="zh-CN"/>
        </w:rPr>
        <w:t>项目考核指标（项目执行期内）</w:t>
      </w:r>
    </w:p>
    <w:p w14:paraId="4C602A6F">
      <w:pPr>
        <w:pStyle w:val="3"/>
        <w:spacing w:before="47" w:line="560" w:lineRule="exact"/>
        <w:ind w:right="19" w:firstLine="672" w:firstLineChars="200"/>
        <w:jc w:val="both"/>
        <w:rPr>
          <w:rFonts w:hint="eastAsia" w:ascii="仿宋_GB2312" w:hAnsi="仿宋_GB2312" w:eastAsia="仿宋_GB2312" w:cs="仿宋_GB2312"/>
          <w:b w:val="0"/>
          <w:bCs w:val="0"/>
          <w:spacing w:val="8"/>
          <w:sz w:val="32"/>
          <w:szCs w:val="32"/>
          <w:highlight w:val="none"/>
          <w:lang w:eastAsia="zh-CN"/>
        </w:rPr>
      </w:pPr>
      <w:r>
        <w:rPr>
          <w:rFonts w:hint="eastAsia" w:ascii="仿宋_GB2312" w:hAnsi="仿宋_GB2312" w:eastAsia="仿宋_GB2312" w:cs="仿宋_GB2312"/>
          <w:b w:val="0"/>
          <w:bCs w:val="0"/>
          <w:spacing w:val="8"/>
          <w:sz w:val="32"/>
          <w:szCs w:val="32"/>
          <w:highlight w:val="none"/>
          <w:lang w:eastAsia="zh-CN"/>
        </w:rPr>
        <w:t>（一）学术指标：</w:t>
      </w:r>
    </w:p>
    <w:p w14:paraId="581ADD44">
      <w:pPr>
        <w:pStyle w:val="3"/>
        <w:spacing w:before="47" w:line="560" w:lineRule="exact"/>
        <w:ind w:right="19" w:firstLine="672" w:firstLineChars="200"/>
        <w:jc w:val="both"/>
        <w:rPr>
          <w:rFonts w:hint="eastAsia" w:ascii="仿宋_GB2312" w:hAnsi="仿宋_GB2312" w:eastAsia="仿宋_GB2312" w:cs="仿宋_GB2312"/>
          <w:b w:val="0"/>
          <w:bCs w:val="0"/>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r>
        <w:rPr>
          <w:rFonts w:hint="eastAsia" w:ascii="仿宋_GB2312" w:hAnsi="仿宋_GB2312" w:eastAsia="仿宋_GB2312" w:cs="仿宋_GB2312"/>
          <w:b w:val="0"/>
          <w:bCs w:val="0"/>
          <w:spacing w:val="8"/>
          <w:sz w:val="32"/>
          <w:szCs w:val="32"/>
          <w:highlight w:val="none"/>
          <w:lang w:eastAsia="zh-CN"/>
        </w:rPr>
        <w:t>申请专利≥</w:t>
      </w:r>
      <w:r>
        <w:rPr>
          <w:rFonts w:hint="eastAsia" w:ascii="仿宋_GB2312" w:hAnsi="仿宋_GB2312" w:eastAsia="仿宋_GB2312" w:cs="仿宋_GB2312"/>
          <w:b w:val="0"/>
          <w:bCs w:val="0"/>
          <w:spacing w:val="8"/>
          <w:sz w:val="32"/>
          <w:szCs w:val="32"/>
          <w:highlight w:val="none"/>
          <w:lang w:val="en-US" w:eastAsia="zh-CN"/>
        </w:rPr>
        <w:t>1</w:t>
      </w:r>
      <w:r>
        <w:rPr>
          <w:rFonts w:hint="eastAsia" w:ascii="仿宋_GB2312" w:hAnsi="仿宋_GB2312" w:eastAsia="仿宋_GB2312" w:cs="仿宋_GB2312"/>
          <w:b w:val="0"/>
          <w:bCs w:val="0"/>
          <w:spacing w:val="8"/>
          <w:sz w:val="32"/>
          <w:szCs w:val="32"/>
          <w:highlight w:val="none"/>
          <w:lang w:eastAsia="zh-CN"/>
        </w:rPr>
        <w:t>项；</w:t>
      </w:r>
    </w:p>
    <w:p w14:paraId="28B2729B">
      <w:pPr>
        <w:pStyle w:val="3"/>
        <w:spacing w:before="47" w:line="560" w:lineRule="exact"/>
        <w:ind w:right="19" w:firstLine="672" w:firstLineChars="200"/>
        <w:jc w:val="both"/>
        <w:rPr>
          <w:rFonts w:hint="eastAsia" w:ascii="仿宋_GB2312" w:hAnsi="仿宋_GB2312" w:eastAsia="仿宋_GB2312" w:cs="仿宋_GB2312"/>
          <w:b w:val="0"/>
          <w:bCs w:val="0"/>
          <w:spacing w:val="8"/>
          <w:sz w:val="32"/>
          <w:szCs w:val="32"/>
          <w:highlight w:val="none"/>
          <w:lang w:eastAsia="zh-CN"/>
        </w:rPr>
      </w:pPr>
      <w:r>
        <w:rPr>
          <w:rFonts w:hint="eastAsia" w:ascii="仿宋_GB2312" w:hAnsi="仿宋_GB2312" w:eastAsia="仿宋_GB2312" w:cs="仿宋_GB2312"/>
          <w:b w:val="0"/>
          <w:bCs w:val="0"/>
          <w:spacing w:val="8"/>
          <w:sz w:val="32"/>
          <w:szCs w:val="32"/>
          <w:highlight w:val="none"/>
          <w:lang w:eastAsia="zh-CN"/>
        </w:rPr>
        <w:t>（二）技术指标：</w:t>
      </w:r>
    </w:p>
    <w:p w14:paraId="3F063F7F">
      <w:pPr>
        <w:pStyle w:val="3"/>
        <w:spacing w:before="47" w:line="560" w:lineRule="exact"/>
        <w:ind w:right="19" w:firstLine="672" w:firstLineChars="200"/>
        <w:jc w:val="both"/>
        <w:rPr>
          <w:rFonts w:hint="eastAsia" w:ascii="仿宋_GB2312" w:hAnsi="仿宋_GB2312" w:eastAsia="仿宋_GB2312" w:cs="仿宋_GB2312"/>
          <w:b w:val="0"/>
          <w:bCs w:val="0"/>
          <w:spacing w:val="8"/>
          <w:sz w:val="32"/>
          <w:szCs w:val="32"/>
          <w:highlight w:val="none"/>
          <w:lang w:eastAsia="zh-CN"/>
        </w:rPr>
      </w:pPr>
      <w:r>
        <w:rPr>
          <w:rFonts w:hint="eastAsia" w:ascii="仿宋_GB2312" w:hAnsi="仿宋_GB2312" w:eastAsia="仿宋_GB2312" w:cs="仿宋_GB2312"/>
          <w:b w:val="0"/>
          <w:bCs w:val="0"/>
          <w:spacing w:val="8"/>
          <w:sz w:val="32"/>
          <w:szCs w:val="32"/>
          <w:highlight w:val="none"/>
          <w:lang w:eastAsia="zh-CN"/>
        </w:rPr>
        <w:t>1.样本收集与分析：完成</w:t>
      </w:r>
      <w:r>
        <w:rPr>
          <w:rFonts w:hint="eastAsia" w:ascii="仿宋_GB2312" w:hAnsi="仿宋_GB2312" w:eastAsia="仿宋_GB2312" w:cs="仿宋_GB2312"/>
          <w:b w:val="0"/>
          <w:bCs w:val="0"/>
          <w:spacing w:val="8"/>
          <w:sz w:val="32"/>
          <w:szCs w:val="32"/>
          <w:highlight w:val="none"/>
          <w:lang w:val="en-US" w:eastAsia="zh-CN"/>
        </w:rPr>
        <w:t>50</w:t>
      </w:r>
      <w:r>
        <w:rPr>
          <w:rFonts w:hint="eastAsia" w:ascii="仿宋_GB2312" w:hAnsi="仿宋_GB2312" w:eastAsia="仿宋_GB2312" w:cs="仿宋_GB2312"/>
          <w:b w:val="0"/>
          <w:bCs w:val="0"/>
          <w:spacing w:val="8"/>
          <w:sz w:val="32"/>
          <w:szCs w:val="32"/>
          <w:highlight w:val="none"/>
          <w:lang w:eastAsia="zh-CN"/>
        </w:rPr>
        <w:t>例自闭症患儿及4</w:t>
      </w:r>
      <w:r>
        <w:rPr>
          <w:rFonts w:hint="eastAsia" w:ascii="仿宋_GB2312" w:hAnsi="仿宋_GB2312" w:eastAsia="仿宋_GB2312" w:cs="仿宋_GB2312"/>
          <w:b w:val="0"/>
          <w:bCs w:val="0"/>
          <w:spacing w:val="8"/>
          <w:sz w:val="32"/>
          <w:szCs w:val="32"/>
          <w:highlight w:val="none"/>
          <w:lang w:val="en-US" w:eastAsia="zh-CN"/>
        </w:rPr>
        <w:t>0</w:t>
      </w:r>
      <w:r>
        <w:rPr>
          <w:rFonts w:hint="eastAsia" w:ascii="仿宋_GB2312" w:hAnsi="仿宋_GB2312" w:eastAsia="仿宋_GB2312" w:cs="仿宋_GB2312"/>
          <w:b w:val="0"/>
          <w:bCs w:val="0"/>
          <w:spacing w:val="8"/>
          <w:sz w:val="32"/>
          <w:szCs w:val="32"/>
          <w:highlight w:val="none"/>
          <w:lang w:eastAsia="zh-CN"/>
        </w:rPr>
        <w:t>例健康对照的样本收集，明确</w:t>
      </w:r>
      <w:r>
        <w:rPr>
          <w:rFonts w:hint="eastAsia" w:ascii="仿宋_GB2312" w:hAnsi="仿宋_GB2312" w:eastAsia="仿宋_GB2312" w:cs="仿宋_GB2312"/>
          <w:b w:val="0"/>
          <w:bCs w:val="0"/>
          <w:spacing w:val="8"/>
          <w:sz w:val="32"/>
          <w:szCs w:val="32"/>
          <w:highlight w:val="none"/>
          <w:lang w:val="en-US" w:eastAsia="zh-CN"/>
        </w:rPr>
        <w:t>长链非编码 RNA（lncRNA）与微小RNA（miRNA）</w:t>
      </w:r>
      <w:r>
        <w:rPr>
          <w:rFonts w:hint="eastAsia" w:ascii="仿宋_GB2312" w:hAnsi="仿宋_GB2312" w:eastAsia="仿宋_GB2312" w:cs="仿宋_GB2312"/>
          <w:b w:val="0"/>
          <w:bCs w:val="0"/>
          <w:spacing w:val="8"/>
          <w:sz w:val="32"/>
          <w:szCs w:val="32"/>
          <w:highlight w:val="none"/>
          <w:lang w:eastAsia="zh-CN"/>
        </w:rPr>
        <w:t>的表达相关性及其与临床评分的关系，形成≥1份临床相关性分析报告；</w:t>
      </w:r>
    </w:p>
    <w:p w14:paraId="4F927295">
      <w:pPr>
        <w:pStyle w:val="3"/>
        <w:keepNext w:val="0"/>
        <w:keepLines w:val="0"/>
        <w:pageBreakBefore w:val="0"/>
        <w:widowControl w:val="0"/>
        <w:kinsoku/>
        <w:wordWrap/>
        <w:overflowPunct/>
        <w:topLinePunct w:val="0"/>
        <w:autoSpaceDE/>
        <w:autoSpaceDN/>
        <w:bidi w:val="0"/>
        <w:adjustRightInd/>
        <w:snapToGrid/>
        <w:spacing w:before="47" w:line="560" w:lineRule="exact"/>
        <w:ind w:right="19" w:firstLine="640" w:firstLineChars="200"/>
        <w:jc w:val="both"/>
        <w:textAlignment w:val="auto"/>
        <w:rPr>
          <w:rFonts w:hint="eastAsia" w:ascii="仿宋_GB2312" w:hAnsi="仿宋_GB2312" w:eastAsia="仿宋_GB2312" w:cs="仿宋_GB2312"/>
          <w:b w:val="0"/>
          <w:bCs w:val="0"/>
          <w:spacing w:val="8"/>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2.对以上体系进行性能验证及临床样本测试，并出具≥1份检测评估报告。</w:t>
      </w:r>
    </w:p>
    <w:p w14:paraId="31C851CC">
      <w:pPr>
        <w:pStyle w:val="3"/>
        <w:spacing w:before="47" w:line="560" w:lineRule="exact"/>
        <w:ind w:right="19"/>
        <w:jc w:val="both"/>
        <w:rPr>
          <w:rFonts w:hint="eastAsia" w:ascii="仿宋_GB2312" w:hAnsi="仿宋_GB2312" w:eastAsia="仿宋_GB2312" w:cs="仿宋_GB2312"/>
          <w:b w:val="0"/>
          <w:bCs w:val="0"/>
          <w:spacing w:val="8"/>
          <w:sz w:val="32"/>
          <w:szCs w:val="32"/>
          <w:highlight w:val="none"/>
          <w:lang w:eastAsia="zh-CN"/>
        </w:rPr>
      </w:pPr>
      <w:r>
        <w:rPr>
          <w:rFonts w:hint="eastAsia" w:ascii="黑体" w:hAnsi="黑体" w:eastAsia="黑体" w:cs="黑体"/>
          <w:b w:val="0"/>
          <w:bCs w:val="0"/>
          <w:spacing w:val="8"/>
          <w:sz w:val="32"/>
          <w:szCs w:val="32"/>
          <w:highlight w:val="none"/>
          <w:lang w:eastAsia="zh-CN"/>
        </w:rPr>
        <w:t>四、项目实施年限：</w:t>
      </w:r>
      <w:r>
        <w:rPr>
          <w:rFonts w:hint="eastAsia" w:ascii="仿宋_GB2312" w:hAnsi="仿宋_GB2312" w:eastAsia="仿宋_GB2312" w:cs="仿宋_GB2312"/>
          <w:b w:val="0"/>
          <w:bCs w:val="0"/>
          <w:spacing w:val="8"/>
          <w:sz w:val="32"/>
          <w:szCs w:val="32"/>
          <w:highlight w:val="none"/>
          <w:lang w:eastAsia="zh-CN"/>
        </w:rPr>
        <w:t>不超过2年</w:t>
      </w:r>
    </w:p>
    <w:p w14:paraId="025F5999">
      <w:pPr>
        <w:spacing w:before="91" w:line="560" w:lineRule="exact"/>
        <w:ind w:right="248"/>
        <w:jc w:val="both"/>
        <w:outlineLvl w:val="0"/>
        <w:rPr>
          <w:rFonts w:hint="eastAsia" w:ascii="仿宋_GB2312" w:hAnsi="仿宋_GB2312" w:eastAsia="仿宋_GB2312" w:cs="仿宋_GB2312"/>
          <w:bCs/>
          <w:spacing w:val="8"/>
          <w:sz w:val="32"/>
          <w:szCs w:val="32"/>
          <w:highlight w:val="none"/>
          <w:lang w:eastAsia="zh-CN"/>
        </w:rPr>
      </w:pPr>
      <w:r>
        <w:rPr>
          <w:rFonts w:hint="eastAsia" w:ascii="黑体" w:hAnsi="黑体" w:eastAsia="黑体" w:cs="黑体"/>
          <w:b w:val="0"/>
          <w:bCs w:val="0"/>
          <w:spacing w:val="8"/>
          <w:sz w:val="32"/>
          <w:szCs w:val="32"/>
          <w:highlight w:val="none"/>
          <w:lang w:eastAsia="zh-CN"/>
        </w:rPr>
        <w:t>五、资助金额：</w:t>
      </w:r>
      <w:r>
        <w:rPr>
          <w:rFonts w:hint="eastAsia" w:ascii="仿宋_GB2312" w:hAnsi="仿宋_GB2312" w:eastAsia="仿宋_GB2312" w:cs="仿宋_GB2312"/>
          <w:b w:val="0"/>
          <w:bCs w:val="0"/>
          <w:spacing w:val="8"/>
          <w:sz w:val="32"/>
          <w:szCs w:val="32"/>
          <w:highlight w:val="none"/>
          <w:lang w:eastAsia="zh-CN"/>
        </w:rPr>
        <w:t>不超过10万元</w:t>
      </w:r>
    </w:p>
    <w:p w14:paraId="7DF2910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黑体" w:hAnsi="黑体" w:eastAsia="黑体" w:cs="黑体"/>
          <w:b/>
          <w:bCs/>
          <w:spacing w:val="8"/>
          <w:sz w:val="32"/>
          <w:szCs w:val="32"/>
          <w:highlight w:val="none"/>
          <w:lang w:val="en-US" w:eastAsia="zh-CN"/>
        </w:rPr>
      </w:pPr>
    </w:p>
    <w:p w14:paraId="3CA7CE2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3BE0AD2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1E435FF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14BC5BA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628402E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74DC726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3EF36C7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2A4C1ED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449E683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557719B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3538B23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35B806C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273E4B3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7785196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2229767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7F20BB4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49255CD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13FFC5A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63FBEF1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35E7899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4766293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39427D6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pacing w:val="8"/>
          <w:sz w:val="32"/>
          <w:szCs w:val="32"/>
          <w:highlight w:val="none"/>
          <w:lang w:val="en-US" w:eastAsia="zh-CN"/>
        </w:rPr>
      </w:pPr>
    </w:p>
    <w:p w14:paraId="3AB3C31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sz w:val="32"/>
          <w:highlight w:val="none"/>
        </w:rPr>
      </w:pPr>
      <w:bookmarkStart w:id="0" w:name="_GoBack"/>
      <w:bookmarkEnd w:id="0"/>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10013 </w:t>
      </w:r>
      <w:r>
        <w:rPr>
          <w:rFonts w:hint="eastAsia" w:ascii="黑体" w:hAnsi="黑体" w:eastAsia="黑体" w:cs="黑体"/>
          <w:b/>
          <w:bCs/>
          <w:sz w:val="32"/>
          <w:highlight w:val="none"/>
        </w:rPr>
        <w:t>肝素治疗中凝血酶生成潜能与常规监测指标差异的机制及临床意义研究</w:t>
      </w:r>
    </w:p>
    <w:p w14:paraId="2C2241A3">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一、领域：</w:t>
      </w:r>
      <w:r>
        <w:rPr>
          <w:rFonts w:hint="eastAsia" w:ascii="仿宋_GB2312" w:hAnsi="仿宋_GB2312" w:eastAsia="仿宋_GB2312" w:cs="仿宋_GB2312"/>
          <w:sz w:val="32"/>
          <w:szCs w:val="32"/>
          <w:highlight w:val="none"/>
          <w:lang w:val="en-US" w:eastAsia="zh-CN"/>
        </w:rPr>
        <w:t>血栓止血</w:t>
      </w:r>
    </w:p>
    <w:p w14:paraId="276F7917">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二、主要研究内容</w:t>
      </w:r>
    </w:p>
    <w:p w14:paraId="5B1C260C">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本研究旨在系统阐明肝素治疗中凝血酶生成</w:t>
      </w:r>
      <w:r>
        <w:rPr>
          <w:rFonts w:hint="eastAsia" w:ascii="仿宋_GB2312" w:hAnsi="仿宋_GB2312" w:eastAsia="仿宋_GB2312" w:cs="仿宋_GB2312"/>
          <w:sz w:val="32"/>
          <w:szCs w:val="32"/>
          <w:highlight w:val="none"/>
          <w:lang w:val="en-US" w:eastAsia="zh-CN"/>
        </w:rPr>
        <w:t>试验（TGA）</w:t>
      </w:r>
      <w:r>
        <w:rPr>
          <w:rFonts w:hint="eastAsia" w:ascii="仿宋_GB2312" w:hAnsi="仿宋_GB2312" w:eastAsia="仿宋_GB2312" w:cs="仿宋_GB2312"/>
          <w:sz w:val="32"/>
          <w:szCs w:val="32"/>
          <w:highlight w:val="none"/>
        </w:rPr>
        <w:t>与常规监测指标的差异机制及临床价值。通过前瞻性队列研究，纳入接受不同肝素方案治疗的患者，通过同步检测其</w:t>
      </w:r>
      <w:r>
        <w:rPr>
          <w:rFonts w:hint="eastAsia" w:ascii="仿宋_GB2312" w:hAnsi="仿宋_GB2312" w:eastAsia="仿宋_GB2312" w:cs="仿宋_GB2312"/>
          <w:sz w:val="32"/>
          <w:szCs w:val="32"/>
          <w:highlight w:val="none"/>
          <w:lang w:val="en-US" w:eastAsia="zh-CN"/>
        </w:rPr>
        <w:t>TGA</w:t>
      </w:r>
      <w:r>
        <w:rPr>
          <w:rFonts w:hint="eastAsia" w:ascii="仿宋_GB2312" w:hAnsi="仿宋_GB2312" w:eastAsia="仿宋_GB2312" w:cs="仿宋_GB2312"/>
          <w:sz w:val="32"/>
          <w:szCs w:val="32"/>
          <w:highlight w:val="none"/>
        </w:rPr>
        <w:t>参数、抗Xa活性及APTT，进行多层次关联分析</w:t>
      </w:r>
      <w:r>
        <w:rPr>
          <w:rFonts w:hint="eastAsia" w:ascii="仿宋_GB2312" w:hAnsi="仿宋_GB2312" w:eastAsia="仿宋_GB2312" w:cs="仿宋_GB2312"/>
          <w:sz w:val="32"/>
          <w:szCs w:val="32"/>
          <w:highlight w:val="none"/>
          <w:lang w:eastAsia="zh-CN"/>
        </w:rPr>
        <w:t>，明确TGA与常规指标的相关性与差异规律；其次，重点解析在APTT受狼疮抗凝物、炎症等非肝素因素干扰时，TGA在评估真实抗凝效能方面的特异性与优势；</w:t>
      </w:r>
      <w:r>
        <w:rPr>
          <w:rFonts w:hint="eastAsia" w:ascii="仿宋_GB2312" w:hAnsi="仿宋_GB2312" w:eastAsia="仿宋_GB2312" w:cs="仿宋_GB2312"/>
          <w:sz w:val="32"/>
          <w:szCs w:val="32"/>
          <w:highlight w:val="none"/>
        </w:rPr>
        <w:t>最后，通过随访出血与血栓事件，评估TGA的独立预测价值，并构建一个整合全局功能、药物浓度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凝血时间</w:t>
      </w:r>
      <w:r>
        <w:rPr>
          <w:rFonts w:hint="eastAsia" w:ascii="仿宋_GB2312" w:hAnsi="仿宋_GB2312" w:eastAsia="仿宋_GB2312" w:cs="仿宋_GB2312"/>
          <w:sz w:val="32"/>
          <w:szCs w:val="32"/>
          <w:highlight w:val="none"/>
          <w:lang w:val="en-US" w:eastAsia="zh-CN"/>
        </w:rPr>
        <w:t>等指标</w:t>
      </w:r>
      <w:r>
        <w:rPr>
          <w:rFonts w:hint="eastAsia" w:ascii="仿宋_GB2312" w:hAnsi="仿宋_GB2312" w:eastAsia="仿宋_GB2312" w:cs="仿宋_GB2312"/>
          <w:sz w:val="32"/>
          <w:szCs w:val="32"/>
          <w:highlight w:val="none"/>
        </w:rPr>
        <w:t>的多维风险预测模型，为肝素治疗的精准监测、风险预警和剂量调整提供循证依据。</w:t>
      </w:r>
    </w:p>
    <w:p w14:paraId="048AB6F1">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三、项目考核指标（项目执行期内）</w:t>
      </w:r>
    </w:p>
    <w:p w14:paraId="39795E9A">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（一）学术指标：</w:t>
      </w:r>
    </w:p>
    <w:p w14:paraId="40BC123C">
      <w:pPr>
        <w:keepNext w:val="0"/>
        <w:keepLines w:val="0"/>
        <w:pageBreakBefore w:val="0"/>
        <w:widowControl w:val="0"/>
        <w:kinsoku/>
        <w:wordWrap/>
        <w:overflowPunct/>
        <w:topLinePunct w:val="0"/>
        <w:autoSpaceDE/>
        <w:autoSpaceDN/>
        <w:bidi w:val="0"/>
        <w:adjustRightInd/>
        <w:snapToGrid/>
        <w:spacing w:before="157" w:beforeLines="50" w:line="300" w:lineRule="auto"/>
        <w:ind w:firstLine="672" w:firstLineChars="200"/>
        <w:textAlignment w:val="auto"/>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597AC293">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（二）技术指标：</w:t>
      </w:r>
    </w:p>
    <w:p w14:paraId="0FBD3FF6">
      <w:pPr>
        <w:keepNext w:val="0"/>
        <w:keepLines w:val="0"/>
        <w:pageBreakBefore w:val="0"/>
        <w:widowControl w:val="0"/>
        <w:kinsoku/>
        <w:wordWrap/>
        <w:overflowPunct/>
        <w:topLinePunct w:val="0"/>
        <w:autoSpaceDE/>
        <w:autoSpaceDN/>
        <w:bidi w:val="0"/>
        <w:adjustRightInd/>
        <w:snapToGrid/>
        <w:spacing w:before="157" w:beforeLines="50" w:line="30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基于以上研究内容</w:t>
      </w:r>
      <w:r>
        <w:rPr>
          <w:rFonts w:hint="eastAsia" w:ascii="仿宋_GB2312" w:hAnsi="仿宋_GB2312" w:eastAsia="仿宋_GB2312" w:cs="仿宋_GB2312"/>
          <w:sz w:val="32"/>
          <w:szCs w:val="32"/>
          <w:highlight w:val="none"/>
          <w:lang w:eastAsia="zh-CN"/>
        </w:rPr>
        <w:t>形成≥1份</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lang w:eastAsia="zh-CN"/>
        </w:rPr>
        <w:t>分析报告，</w:t>
      </w:r>
      <w:r>
        <w:rPr>
          <w:rFonts w:hint="eastAsia" w:ascii="仿宋_GB2312" w:hAnsi="仿宋_GB2312" w:eastAsia="仿宋_GB2312" w:cs="仿宋_GB2312"/>
          <w:sz w:val="32"/>
          <w:szCs w:val="32"/>
          <w:highlight w:val="none"/>
          <w:lang w:val="en-US" w:eastAsia="zh-CN"/>
        </w:rPr>
        <w:t>建立标准化的TGA检测操作规程，构建完整的前瞻性肝素抗凝治疗专病数据库，系统阐述TGA与常规监测指标之间的差异机制、在复杂临床情境下的应用优势及其对临床终点事件的预测效能，对建立的肝素抗凝治疗出血/血栓风险预测模型的效能进行评估。</w:t>
      </w:r>
    </w:p>
    <w:p w14:paraId="13335D55">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四、项目实施年限：</w:t>
      </w:r>
      <w:r>
        <w:rPr>
          <w:rFonts w:hint="eastAsia" w:ascii="仿宋_GB2312" w:hAnsi="仿宋_GB2312" w:eastAsia="仿宋_GB2312" w:cs="仿宋_GB2312"/>
          <w:sz w:val="32"/>
          <w:szCs w:val="32"/>
          <w:highlight w:val="none"/>
        </w:rPr>
        <w:t>不超过2年</w:t>
      </w:r>
    </w:p>
    <w:p w14:paraId="3C640FF1">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五、资助金额：</w:t>
      </w:r>
      <w:r>
        <w:rPr>
          <w:rFonts w:hint="eastAsia"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0万元</w:t>
      </w:r>
    </w:p>
    <w:p w14:paraId="4791AE46">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08B9AABC">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26D51857">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01DD4715">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2BDF6756">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31A1B42F">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2D9F7240">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041E74A8">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0931BE07">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4E74482B">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3A13FE12">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0AF05508">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370EE78D">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5D01DBAF">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0519B599">
      <w:pPr>
        <w:pStyle w:val="3"/>
        <w:spacing w:before="47" w:line="560" w:lineRule="exact"/>
        <w:ind w:right="19"/>
        <w:jc w:val="center"/>
        <w:rPr>
          <w:rFonts w:hint="eastAsia" w:ascii="黑体" w:hAnsi="黑体" w:eastAsia="黑体" w:cs="黑体"/>
          <w:b/>
          <w:bCs/>
          <w:spacing w:val="8"/>
          <w:sz w:val="32"/>
          <w:szCs w:val="32"/>
          <w:highlight w:val="none"/>
          <w:lang w:val="en-US" w:eastAsia="zh-CN"/>
        </w:rPr>
      </w:pPr>
    </w:p>
    <w:p w14:paraId="078EF2A1">
      <w:pPr>
        <w:pStyle w:val="3"/>
        <w:spacing w:before="47" w:line="560" w:lineRule="exact"/>
        <w:ind w:right="19"/>
        <w:jc w:val="center"/>
        <w:rPr>
          <w:rFonts w:hint="eastAsia" w:ascii="黑体" w:hAnsi="黑体" w:eastAsia="黑体" w:cs="黑体"/>
          <w:b/>
          <w:bCs/>
          <w:spacing w:val="8"/>
          <w:sz w:val="32"/>
          <w:szCs w:val="32"/>
          <w:highlight w:val="none"/>
          <w:lang w:val="en-US" w:eastAsia="zh-CN"/>
        </w:rPr>
      </w:pPr>
    </w:p>
    <w:p w14:paraId="728B19C9">
      <w:pPr>
        <w:pStyle w:val="3"/>
        <w:spacing w:before="47" w:line="560" w:lineRule="exact"/>
        <w:ind w:right="19"/>
        <w:jc w:val="center"/>
        <w:rPr>
          <w:rFonts w:hint="eastAsia" w:ascii="黑体" w:hAnsi="黑体" w:eastAsia="黑体" w:cs="黑体"/>
          <w:b/>
          <w:bCs/>
          <w:spacing w:val="8"/>
          <w:sz w:val="32"/>
          <w:szCs w:val="32"/>
          <w:highlight w:val="none"/>
          <w:lang w:val="en-US" w:eastAsia="zh-CN"/>
        </w:rPr>
      </w:pPr>
    </w:p>
    <w:p w14:paraId="090E5A38">
      <w:pPr>
        <w:pStyle w:val="3"/>
        <w:spacing w:before="47" w:line="560" w:lineRule="exact"/>
        <w:ind w:right="19"/>
        <w:jc w:val="center"/>
        <w:rPr>
          <w:rFonts w:hint="eastAsia" w:ascii="黑体" w:hAnsi="黑体" w:eastAsia="黑体" w:cs="黑体"/>
          <w:b/>
          <w:bCs/>
          <w:spacing w:val="8"/>
          <w:sz w:val="32"/>
          <w:szCs w:val="32"/>
          <w:highlight w:val="none"/>
          <w:lang w:val="en-US" w:eastAsia="zh-CN"/>
        </w:rPr>
      </w:pPr>
    </w:p>
    <w:p w14:paraId="2AAA29CB">
      <w:pPr>
        <w:pStyle w:val="3"/>
        <w:spacing w:before="47" w:line="560" w:lineRule="exact"/>
        <w:ind w:right="19"/>
        <w:jc w:val="center"/>
        <w:rPr>
          <w:rFonts w:hint="eastAsia"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val="en-US" w:eastAsia="zh-CN"/>
        </w:rPr>
        <w:t>面</w:t>
      </w:r>
      <w:r>
        <w:rPr>
          <w:rFonts w:hint="eastAsia" w:ascii="黑体" w:hAnsi="黑体" w:eastAsia="黑体" w:cs="黑体"/>
          <w:b/>
          <w:bCs/>
          <w:spacing w:val="8"/>
          <w:sz w:val="32"/>
          <w:szCs w:val="32"/>
          <w:highlight w:val="none"/>
          <w:lang w:eastAsia="zh-CN"/>
        </w:rPr>
        <w:t>2025</w:t>
      </w:r>
      <w:r>
        <w:rPr>
          <w:rFonts w:hint="eastAsia" w:ascii="黑体" w:hAnsi="黑体" w:eastAsia="黑体" w:cs="黑体"/>
          <w:b/>
          <w:bCs/>
          <w:spacing w:val="8"/>
          <w:sz w:val="32"/>
          <w:szCs w:val="32"/>
          <w:highlight w:val="none"/>
          <w:lang w:val="en-US" w:eastAsia="zh-CN"/>
        </w:rPr>
        <w:t xml:space="preserve">10014 </w:t>
      </w:r>
      <w:r>
        <w:rPr>
          <w:rFonts w:hint="eastAsia" w:ascii="黑体" w:hAnsi="黑体" w:eastAsia="黑体" w:cs="黑体"/>
          <w:b/>
          <w:bCs/>
          <w:spacing w:val="8"/>
          <w:sz w:val="32"/>
          <w:szCs w:val="32"/>
          <w:highlight w:val="none"/>
          <w:lang w:eastAsia="zh-CN"/>
        </w:rPr>
        <w:t>挥发性有机化合物相关基因与脑卒中风险的多组学研究</w:t>
      </w:r>
    </w:p>
    <w:p w14:paraId="387B040C">
      <w:pPr>
        <w:spacing w:before="91" w:line="560" w:lineRule="exact"/>
        <w:ind w:right="248"/>
        <w:jc w:val="both"/>
        <w:outlineLvl w:val="0"/>
        <w:rPr>
          <w:rFonts w:hint="eastAsia" w:ascii="仿宋_GB2312" w:hAnsi="仿宋_GB2312" w:eastAsia="仿宋_GB2312" w:cs="仿宋_GB2312"/>
          <w:bCs/>
          <w:spacing w:val="8"/>
          <w:sz w:val="32"/>
          <w:szCs w:val="32"/>
          <w:highlight w:val="none"/>
          <w:lang w:eastAsia="zh-CN"/>
        </w:rPr>
      </w:pPr>
      <w:r>
        <w:rPr>
          <w:rFonts w:hint="eastAsia" w:ascii="黑体" w:hAnsi="黑体" w:eastAsia="黑体" w:cs="黑体"/>
          <w:b w:val="0"/>
          <w:bCs w:val="0"/>
          <w:spacing w:val="8"/>
          <w:sz w:val="32"/>
          <w:szCs w:val="32"/>
          <w:highlight w:val="none"/>
          <w:lang w:eastAsia="zh-CN"/>
        </w:rPr>
        <w:t>一、领域：</w:t>
      </w:r>
      <w:r>
        <w:rPr>
          <w:rFonts w:hint="eastAsia" w:ascii="仿宋_GB2312" w:hAnsi="仿宋_GB2312" w:eastAsia="仿宋_GB2312" w:cs="仿宋_GB2312"/>
          <w:bCs/>
          <w:spacing w:val="8"/>
          <w:sz w:val="32"/>
          <w:szCs w:val="32"/>
          <w:highlight w:val="none"/>
          <w:lang w:eastAsia="zh-CN"/>
        </w:rPr>
        <w:t>环境健康与神经疾病精准防控</w:t>
      </w:r>
    </w:p>
    <w:p w14:paraId="7456776D">
      <w:pPr>
        <w:spacing w:before="91" w:line="560" w:lineRule="exact"/>
        <w:ind w:right="248"/>
        <w:jc w:val="both"/>
        <w:outlineLvl w:val="0"/>
        <w:rPr>
          <w:rFonts w:hint="eastAsia" w:ascii="黑体" w:hAnsi="黑体" w:eastAsia="黑体" w:cs="黑体"/>
          <w:b w:val="0"/>
          <w:bCs w:val="0"/>
          <w:spacing w:val="8"/>
          <w:sz w:val="32"/>
          <w:szCs w:val="32"/>
          <w:highlight w:val="none"/>
          <w:lang w:eastAsia="zh-CN"/>
        </w:rPr>
      </w:pPr>
      <w:r>
        <w:rPr>
          <w:rFonts w:hint="eastAsia" w:ascii="黑体" w:hAnsi="黑体" w:eastAsia="黑体" w:cs="黑体"/>
          <w:b w:val="0"/>
          <w:bCs w:val="0"/>
          <w:spacing w:val="8"/>
          <w:sz w:val="32"/>
          <w:szCs w:val="32"/>
          <w:highlight w:val="none"/>
          <w:lang w:eastAsia="zh-CN"/>
        </w:rPr>
        <w:t>二、主要研究内容</w:t>
      </w:r>
    </w:p>
    <w:p w14:paraId="60BC4D18">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项目聚焦“挥发性有机化合物（VOCs）暴露与脑卒中风险机制研究”，旨在系统揭示环境污染物暴露对脑卒中发生、进展及预后的影响规律，探索环境因素与神经疾病之间的内在联系。研究将依托国内外人群数据库与临床样本数据，分析VOCs代谢物水平与脑卒中发病风险的关联特征，并挖掘其潜在的生物标志物与关键调控通路。项目计划利用多组学分析和人工智能建模方法，构建环境暴露与脑卒中之间的预测模型，评估不同暴露水平下个体的疾病易感性及预后差异。研究成果将为脑卒中的早期风险识别、精准预防和环境健康干预提供数据支撑与科学依据，推动环境暴露与脑血管疾病交叉领域的应用转化与科技创新。</w:t>
      </w:r>
    </w:p>
    <w:p w14:paraId="4A78C150">
      <w:pPr>
        <w:spacing w:before="91" w:line="560" w:lineRule="exact"/>
        <w:ind w:right="248"/>
        <w:jc w:val="both"/>
        <w:outlineLvl w:val="0"/>
        <w:rPr>
          <w:rFonts w:hint="eastAsia" w:ascii="黑体" w:hAnsi="黑体" w:eastAsia="黑体" w:cs="黑体"/>
          <w:b w:val="0"/>
          <w:bCs w:val="0"/>
          <w:spacing w:val="8"/>
          <w:sz w:val="32"/>
          <w:szCs w:val="32"/>
          <w:highlight w:val="none"/>
          <w:lang w:eastAsia="zh-CN"/>
        </w:rPr>
      </w:pPr>
      <w:r>
        <w:rPr>
          <w:rFonts w:hint="eastAsia" w:ascii="黑体" w:hAnsi="黑体" w:eastAsia="黑体" w:cs="黑体"/>
          <w:b w:val="0"/>
          <w:bCs w:val="0"/>
          <w:spacing w:val="8"/>
          <w:sz w:val="32"/>
          <w:szCs w:val="32"/>
          <w:highlight w:val="none"/>
          <w:lang w:eastAsia="zh-CN"/>
        </w:rPr>
        <w:t>三、项目考核指标（项目执行期内）</w:t>
      </w:r>
    </w:p>
    <w:p w14:paraId="6AA7782A">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 xml:space="preserve">（1）学术指标： </w:t>
      </w:r>
    </w:p>
    <w:p w14:paraId="01427AF6">
      <w:pPr>
        <w:spacing w:before="91" w:line="560" w:lineRule="exact"/>
        <w:ind w:right="248" w:firstLine="672" w:firstLineChars="200"/>
        <w:jc w:val="both"/>
        <w:outlineLvl w:val="0"/>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val="en-US" w:eastAsia="zh-CN"/>
        </w:rPr>
        <w:t>发</w:t>
      </w:r>
      <w:r>
        <w:rPr>
          <w:rFonts w:hint="eastAsia" w:ascii="仿宋_GB2312" w:hAnsi="仿宋_GB2312" w:eastAsia="仿宋_GB2312" w:cs="仿宋_GB2312"/>
          <w:spacing w:val="8"/>
          <w:sz w:val="32"/>
          <w:szCs w:val="32"/>
          <w:highlight w:val="none"/>
          <w:lang w:eastAsia="zh-CN"/>
        </w:rPr>
        <w:t>表中文或SCI论文≥1篇；</w:t>
      </w:r>
    </w:p>
    <w:p w14:paraId="0B91161B">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highlight w:val="none"/>
          <w:lang w:eastAsia="zh-CN"/>
        </w:rPr>
      </w:pPr>
      <w:r>
        <w:rPr>
          <w:rFonts w:hint="eastAsia" w:ascii="仿宋_GB2312" w:hAnsi="仿宋_GB2312" w:eastAsia="仿宋_GB2312" w:cs="仿宋_GB2312"/>
          <w:bCs/>
          <w:spacing w:val="8"/>
          <w:sz w:val="32"/>
          <w:szCs w:val="32"/>
          <w:highlight w:val="none"/>
          <w:lang w:eastAsia="zh-CN"/>
        </w:rPr>
        <w:t>（2）技术指标：建立标准化的VOCs暴露评估与检测流程，构建完整的人群VOCs代谢物与脑卒中风险关联数据库。系统阐明VOCs暴露与脑卒中发病、预后之间的分子关联规律，揭示其在神经炎症、氧化应激及血管损伤等环节的作用特征。建立基于多组学特征的脑卒中早期风险预测模型，并对模型的区分度、校准度及临床应用效能进行系统评估，为环境暴露相关脑卒中防控提供技术支撑和数据依据</w:t>
      </w:r>
      <w:r>
        <w:rPr>
          <w:rFonts w:hint="eastAsia" w:ascii="仿宋_GB2312" w:hAnsi="仿宋_GB2312" w:eastAsia="仿宋_GB2312" w:cs="仿宋_GB2312"/>
          <w:bCs/>
          <w:spacing w:val="8"/>
          <w:sz w:val="32"/>
          <w:szCs w:val="32"/>
          <w:highlight w:val="none"/>
          <w:lang w:val="en-US" w:eastAsia="zh-CN"/>
        </w:rPr>
        <w:t>并</w:t>
      </w:r>
      <w:r>
        <w:rPr>
          <w:rFonts w:hint="eastAsia" w:ascii="仿宋_GB2312" w:hAnsi="仿宋_GB2312" w:eastAsia="仿宋_GB2312" w:cs="仿宋_GB2312"/>
          <w:bCs/>
          <w:spacing w:val="8"/>
          <w:sz w:val="32"/>
          <w:szCs w:val="32"/>
          <w:highlight w:val="none"/>
          <w:lang w:eastAsia="zh-CN"/>
        </w:rPr>
        <w:t>形成≥1份项目分析报告。</w:t>
      </w:r>
    </w:p>
    <w:p w14:paraId="41B98658">
      <w:pPr>
        <w:spacing w:before="91" w:line="560" w:lineRule="exact"/>
        <w:ind w:right="248"/>
        <w:jc w:val="both"/>
        <w:outlineLvl w:val="0"/>
        <w:rPr>
          <w:rFonts w:hint="eastAsia" w:ascii="仿宋_GB2312" w:hAnsi="仿宋_GB2312" w:eastAsia="仿宋_GB2312" w:cs="仿宋_GB2312"/>
          <w:bCs/>
          <w:spacing w:val="8"/>
          <w:sz w:val="32"/>
          <w:szCs w:val="32"/>
          <w:highlight w:val="none"/>
          <w:lang w:eastAsia="zh-CN"/>
        </w:rPr>
      </w:pPr>
      <w:r>
        <w:rPr>
          <w:rFonts w:hint="eastAsia" w:ascii="黑体" w:hAnsi="黑体" w:eastAsia="黑体" w:cs="黑体"/>
          <w:b w:val="0"/>
          <w:bCs w:val="0"/>
          <w:spacing w:val="8"/>
          <w:sz w:val="32"/>
          <w:szCs w:val="32"/>
          <w:highlight w:val="none"/>
          <w:lang w:eastAsia="zh-CN"/>
        </w:rPr>
        <w:t>四、项目实施年限：</w:t>
      </w:r>
      <w:r>
        <w:rPr>
          <w:rFonts w:hint="eastAsia" w:ascii="仿宋_GB2312" w:hAnsi="仿宋_GB2312" w:eastAsia="仿宋_GB2312" w:cs="仿宋_GB2312"/>
          <w:bCs/>
          <w:spacing w:val="8"/>
          <w:sz w:val="32"/>
          <w:szCs w:val="32"/>
          <w:highlight w:val="none"/>
          <w:lang w:eastAsia="zh-CN"/>
        </w:rPr>
        <w:t>不超过2年</w:t>
      </w:r>
    </w:p>
    <w:p w14:paraId="42EFC58C">
      <w:pPr>
        <w:spacing w:before="91" w:line="560" w:lineRule="exact"/>
        <w:ind w:right="248"/>
        <w:jc w:val="both"/>
        <w:outlineLvl w:val="0"/>
        <w:rPr>
          <w:highlight w:val="none"/>
        </w:rPr>
      </w:pPr>
      <w:r>
        <w:rPr>
          <w:rFonts w:hint="eastAsia" w:ascii="黑体" w:hAnsi="黑体" w:eastAsia="黑体" w:cs="黑体"/>
          <w:b w:val="0"/>
          <w:bCs w:val="0"/>
          <w:spacing w:val="8"/>
          <w:sz w:val="32"/>
          <w:szCs w:val="32"/>
          <w:highlight w:val="none"/>
          <w:lang w:eastAsia="zh-CN"/>
        </w:rPr>
        <w:t>五、资助金额：</w:t>
      </w:r>
      <w:r>
        <w:rPr>
          <w:rFonts w:hint="eastAsia" w:ascii="仿宋_GB2312" w:hAnsi="仿宋_GB2312" w:eastAsia="仿宋_GB2312" w:cs="仿宋_GB2312"/>
          <w:bCs/>
          <w:spacing w:val="8"/>
          <w:sz w:val="32"/>
          <w:szCs w:val="32"/>
          <w:highlight w:val="none"/>
          <w:lang w:eastAsia="zh-CN"/>
        </w:rPr>
        <w:t>不超过</w:t>
      </w:r>
      <w:r>
        <w:rPr>
          <w:rFonts w:hint="eastAsia" w:ascii="仿宋_GB2312" w:hAnsi="仿宋_GB2312" w:eastAsia="仿宋_GB2312" w:cs="仿宋_GB2312"/>
          <w:bCs/>
          <w:spacing w:val="8"/>
          <w:sz w:val="32"/>
          <w:szCs w:val="32"/>
          <w:highlight w:val="none"/>
          <w:lang w:val="en-US" w:eastAsia="zh-CN"/>
        </w:rPr>
        <w:t>5</w:t>
      </w:r>
      <w:r>
        <w:rPr>
          <w:rFonts w:hint="eastAsia" w:ascii="仿宋_GB2312" w:hAnsi="仿宋_GB2312" w:eastAsia="仿宋_GB2312" w:cs="仿宋_GB2312"/>
          <w:bCs/>
          <w:spacing w:val="8"/>
          <w:sz w:val="32"/>
          <w:szCs w:val="32"/>
          <w:highlight w:val="none"/>
          <w:lang w:eastAsia="zh-CN"/>
        </w:rPr>
        <w:t>万元</w:t>
      </w:r>
    </w:p>
    <w:p w14:paraId="1163B50E">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6EA8FDDB">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2BD088FA">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071955E8">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0EE1B5A5">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26EB6198">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4E62E445">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4704223C">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7EE19D37">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5B10DE5D">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52DD16D7">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7DD82095">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1446D795">
      <w:pPr>
        <w:pStyle w:val="3"/>
        <w:spacing w:before="47" w:line="560" w:lineRule="exact"/>
        <w:ind w:right="19"/>
        <w:jc w:val="center"/>
        <w:rPr>
          <w:rFonts w:hint="eastAsia" w:ascii="黑体" w:hAnsi="黑体" w:eastAsia="黑体" w:cs="黑体"/>
          <w:b/>
          <w:bCs/>
          <w:spacing w:val="8"/>
          <w:sz w:val="32"/>
          <w:szCs w:val="32"/>
          <w:highlight w:val="none"/>
          <w:lang w:eastAsia="zh-CN"/>
        </w:rPr>
      </w:pPr>
    </w:p>
    <w:p w14:paraId="26177D8D">
      <w:pPr>
        <w:pStyle w:val="3"/>
        <w:spacing w:before="47" w:line="560" w:lineRule="exact"/>
        <w:ind w:right="19"/>
        <w:jc w:val="center"/>
        <w:rPr>
          <w:rFonts w:ascii="仿宋_GB2312" w:hAnsi="仿宋_GB2312" w:eastAsia="仿宋_GB2312" w:cs="仿宋_GB2312"/>
          <w:b/>
          <w:bCs/>
          <w:spacing w:val="8"/>
          <w:sz w:val="32"/>
          <w:szCs w:val="32"/>
          <w:highlight w:val="none"/>
          <w:lang w:eastAsia="zh-CN"/>
        </w:rPr>
      </w:pPr>
      <w:r>
        <w:rPr>
          <w:rFonts w:hint="eastAsia" w:ascii="黑体" w:hAnsi="黑体" w:eastAsia="黑体" w:cs="黑体"/>
          <w:b/>
          <w:bCs/>
          <w:spacing w:val="8"/>
          <w:sz w:val="32"/>
          <w:szCs w:val="32"/>
          <w:highlight w:val="none"/>
          <w:lang w:eastAsia="zh-CN"/>
        </w:rPr>
        <w:t>重2025</w:t>
      </w:r>
      <w:r>
        <w:rPr>
          <w:rFonts w:ascii="黑体" w:hAnsi="黑体" w:eastAsia="黑体" w:cs="黑体"/>
          <w:b/>
          <w:bCs/>
          <w:spacing w:val="8"/>
          <w:sz w:val="32"/>
          <w:szCs w:val="32"/>
          <w:highlight w:val="none"/>
          <w:lang w:eastAsia="zh-CN"/>
        </w:rPr>
        <w:t>100</w:t>
      </w:r>
      <w:r>
        <w:rPr>
          <w:rFonts w:hint="eastAsia" w:ascii="黑体" w:hAnsi="黑体" w:eastAsia="黑体" w:cs="黑体"/>
          <w:b/>
          <w:bCs/>
          <w:spacing w:val="8"/>
          <w:sz w:val="32"/>
          <w:szCs w:val="32"/>
          <w:highlight w:val="none"/>
          <w:lang w:val="en-US" w:eastAsia="zh-CN"/>
        </w:rPr>
        <w:t>01</w:t>
      </w:r>
      <w:r>
        <w:rPr>
          <w:rFonts w:hint="eastAsia" w:ascii="黑体" w:hAnsi="黑体" w:eastAsia="黑体" w:cs="黑体"/>
          <w:b/>
          <w:bCs/>
          <w:spacing w:val="8"/>
          <w:sz w:val="32"/>
          <w:szCs w:val="32"/>
          <w:highlight w:val="none"/>
          <w:lang w:eastAsia="zh-CN"/>
        </w:rPr>
        <w:t xml:space="preserve"> 新型感染标志物在感染性疾病、自身免疫性疾病诊断、用药及预后中的临床应用研究</w:t>
      </w:r>
    </w:p>
    <w:p w14:paraId="03DC7191">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一、领域：</w:t>
      </w:r>
      <w:r>
        <w:rPr>
          <w:rFonts w:hint="eastAsia" w:ascii="仿宋_GB2312" w:hAnsi="仿宋_GB2312" w:eastAsia="仿宋_GB2312" w:cs="仿宋_GB2312"/>
          <w:bCs/>
          <w:spacing w:val="8"/>
          <w:sz w:val="32"/>
          <w:szCs w:val="32"/>
          <w:highlight w:val="none"/>
          <w:lang w:eastAsia="zh-CN"/>
        </w:rPr>
        <w:t>感染性疾病、自身免疫性疾病</w:t>
      </w:r>
    </w:p>
    <w:p w14:paraId="3AFD7CA7">
      <w:pPr>
        <w:pStyle w:val="3"/>
        <w:spacing w:before="47" w:line="560" w:lineRule="exact"/>
        <w:ind w:right="19"/>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二、主要研究内容</w:t>
      </w:r>
    </w:p>
    <w:p w14:paraId="6F39EFEE">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基于新型化学发光法检测的感染标志物在感染性疾病、自身免疫性疾病诊断、用药及预后的临床应用价值，并验证其临床诊疗及预后的价值，评估感染标志物在诊断准确性、敏感性和特异性等方面的优势，以及在治疗效果及预后评估等方面的价值，构建基于新型感染标志物的诊断及预后评估模型，为临床决策提供依据。</w:t>
      </w:r>
    </w:p>
    <w:p w14:paraId="0D5F4F50">
      <w:pPr>
        <w:pStyle w:val="3"/>
        <w:spacing w:before="47" w:line="560" w:lineRule="exact"/>
        <w:ind w:left="720" w:right="19" w:hanging="720"/>
        <w:jc w:val="both"/>
        <w:rPr>
          <w:rFonts w:ascii="黑体" w:hAnsi="黑体" w:eastAsia="黑体" w:cs="黑体"/>
          <w:spacing w:val="8"/>
          <w:sz w:val="32"/>
          <w:szCs w:val="32"/>
          <w:highlight w:val="none"/>
          <w:lang w:eastAsia="zh-CN"/>
        </w:rPr>
      </w:pPr>
      <w:r>
        <w:rPr>
          <w:rFonts w:hint="eastAsia" w:ascii="黑体" w:hAnsi="黑体" w:eastAsia="黑体" w:cs="黑体"/>
          <w:spacing w:val="8"/>
          <w:sz w:val="32"/>
          <w:szCs w:val="32"/>
          <w:highlight w:val="none"/>
          <w:lang w:eastAsia="zh-CN"/>
        </w:rPr>
        <w:t>三、项目考核指标（项目执行期内）</w:t>
      </w:r>
    </w:p>
    <w:p w14:paraId="1C725F6B">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（一）学术指标：</w:t>
      </w:r>
    </w:p>
    <w:p w14:paraId="385C78F8">
      <w:pPr>
        <w:pStyle w:val="3"/>
        <w:spacing w:before="47" w:line="560" w:lineRule="exact"/>
        <w:ind w:right="19" w:firstLine="672" w:firstLineChars="20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发表中文或SCI论文≥1篇；</w:t>
      </w:r>
    </w:p>
    <w:p w14:paraId="63F6D63D">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（二）技术指标：</w:t>
      </w:r>
    </w:p>
    <w:p w14:paraId="0F85C226">
      <w:pPr>
        <w:pStyle w:val="3"/>
        <w:spacing w:before="47" w:line="560" w:lineRule="exact"/>
        <w:ind w:right="19" w:firstLine="672" w:firstLineChars="200"/>
        <w:jc w:val="both"/>
        <w:rPr>
          <w:rFonts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基于新型化学发光法检测的感染标志物在感染性疾病、自身免疫性疾病诊断、用药及预后的临床应用价值形成≥1份</w:t>
      </w:r>
      <w:r>
        <w:rPr>
          <w:rFonts w:hint="eastAsia" w:ascii="仿宋_GB2312" w:hAnsi="仿宋_GB2312" w:eastAsia="仿宋_GB2312" w:cs="仿宋_GB2312"/>
          <w:spacing w:val="8"/>
          <w:sz w:val="32"/>
          <w:szCs w:val="32"/>
          <w:highlight w:val="none"/>
          <w:lang w:val="en-US" w:eastAsia="zh-CN"/>
        </w:rPr>
        <w:t>项目</w:t>
      </w:r>
      <w:r>
        <w:rPr>
          <w:rFonts w:hint="eastAsia" w:ascii="仿宋_GB2312" w:hAnsi="仿宋_GB2312" w:eastAsia="仿宋_GB2312" w:cs="仿宋_GB2312"/>
          <w:spacing w:val="8"/>
          <w:sz w:val="32"/>
          <w:szCs w:val="32"/>
          <w:highlight w:val="none"/>
          <w:lang w:eastAsia="zh-CN"/>
        </w:rPr>
        <w:t>分析报告。</w:t>
      </w:r>
    </w:p>
    <w:p w14:paraId="1975D312">
      <w:pPr>
        <w:pStyle w:val="3"/>
        <w:spacing w:before="47" w:line="560" w:lineRule="exact"/>
        <w:ind w:right="19"/>
        <w:jc w:val="both"/>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四、项目实施年限：</w:t>
      </w:r>
      <w:r>
        <w:rPr>
          <w:rFonts w:hint="eastAsia" w:ascii="仿宋_GB2312" w:hAnsi="仿宋_GB2312" w:eastAsia="仿宋_GB2312" w:cs="仿宋_GB2312"/>
          <w:spacing w:val="8"/>
          <w:sz w:val="32"/>
          <w:szCs w:val="32"/>
          <w:highlight w:val="none"/>
          <w:lang w:eastAsia="zh-CN"/>
        </w:rPr>
        <w:t>不超过2年</w:t>
      </w:r>
    </w:p>
    <w:p w14:paraId="582F13E8">
      <w:pPr>
        <w:pStyle w:val="3"/>
        <w:spacing w:before="47" w:line="560" w:lineRule="exact"/>
        <w:ind w:right="19"/>
        <w:rPr>
          <w:rFonts w:ascii="仿宋_GB2312" w:hAnsi="仿宋_GB2312" w:eastAsia="仿宋_GB2312" w:cs="仿宋_GB2312"/>
          <w:spacing w:val="8"/>
          <w:sz w:val="32"/>
          <w:szCs w:val="32"/>
          <w:highlight w:val="none"/>
          <w:lang w:eastAsia="zh-CN"/>
        </w:rPr>
      </w:pPr>
      <w:r>
        <w:rPr>
          <w:rFonts w:hint="eastAsia" w:ascii="黑体" w:hAnsi="黑体" w:eastAsia="黑体" w:cs="黑体"/>
          <w:spacing w:val="8"/>
          <w:sz w:val="32"/>
          <w:szCs w:val="32"/>
          <w:highlight w:val="none"/>
          <w:lang w:eastAsia="zh-CN"/>
        </w:rPr>
        <w:t>五、资助金额：</w:t>
      </w:r>
      <w:r>
        <w:rPr>
          <w:rFonts w:hint="eastAsia" w:ascii="仿宋_GB2312" w:hAnsi="仿宋_GB2312" w:eastAsia="仿宋_GB2312" w:cs="仿宋_GB2312"/>
          <w:spacing w:val="8"/>
          <w:sz w:val="32"/>
          <w:szCs w:val="32"/>
          <w:highlight w:val="none"/>
          <w:lang w:eastAsia="zh-CN"/>
        </w:rPr>
        <w:t>不超过30万元</w:t>
      </w:r>
    </w:p>
    <w:p w14:paraId="6345CA9C">
      <w:pPr>
        <w:pStyle w:val="3"/>
        <w:spacing w:before="47" w:line="560" w:lineRule="exact"/>
        <w:ind w:right="19"/>
        <w:rPr>
          <w:rFonts w:ascii="仿宋_GB2312" w:hAnsi="仿宋_GB2312" w:eastAsia="仿宋_GB2312" w:cs="仿宋_GB2312"/>
          <w:sz w:val="32"/>
          <w:szCs w:val="32"/>
          <w:highlight w:val="none"/>
          <w:lang w:eastAsia="zh-CN"/>
        </w:rPr>
      </w:pPr>
    </w:p>
    <w:p w14:paraId="3A1F02B5">
      <w:pPr>
        <w:pStyle w:val="3"/>
        <w:spacing w:before="47" w:line="560" w:lineRule="exact"/>
        <w:ind w:right="19"/>
        <w:rPr>
          <w:rFonts w:ascii="仿宋_GB2312" w:hAnsi="仿宋_GB2312" w:eastAsia="仿宋_GB2312" w:cs="仿宋_GB2312"/>
          <w:sz w:val="32"/>
          <w:szCs w:val="32"/>
          <w:highlight w:val="none"/>
          <w:lang w:eastAsia="zh-CN"/>
        </w:rPr>
      </w:pPr>
    </w:p>
    <w:sectPr>
      <w:pgSz w:w="11907" w:h="16839"/>
      <w:pgMar w:top="2211" w:right="1474" w:bottom="1871"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4"/>
  </w:compat>
  <w:rsids>
    <w:rsidRoot w:val="00B35F3D"/>
    <w:rsid w:val="00006DFC"/>
    <w:rsid w:val="00013B3F"/>
    <w:rsid w:val="000251F2"/>
    <w:rsid w:val="00070180"/>
    <w:rsid w:val="000A32BA"/>
    <w:rsid w:val="000B6E70"/>
    <w:rsid w:val="000C42AA"/>
    <w:rsid w:val="000F3A13"/>
    <w:rsid w:val="0012225F"/>
    <w:rsid w:val="001366EE"/>
    <w:rsid w:val="001376E8"/>
    <w:rsid w:val="00137D38"/>
    <w:rsid w:val="00143FBD"/>
    <w:rsid w:val="00172E38"/>
    <w:rsid w:val="0018163F"/>
    <w:rsid w:val="001A37A7"/>
    <w:rsid w:val="001B5FCD"/>
    <w:rsid w:val="001D25E0"/>
    <w:rsid w:val="001F6461"/>
    <w:rsid w:val="00233215"/>
    <w:rsid w:val="00247F50"/>
    <w:rsid w:val="00264255"/>
    <w:rsid w:val="002858FD"/>
    <w:rsid w:val="002C2253"/>
    <w:rsid w:val="00331212"/>
    <w:rsid w:val="003607C7"/>
    <w:rsid w:val="00380879"/>
    <w:rsid w:val="0039056C"/>
    <w:rsid w:val="0039111E"/>
    <w:rsid w:val="003A3F6F"/>
    <w:rsid w:val="004076AE"/>
    <w:rsid w:val="004136A6"/>
    <w:rsid w:val="004261C9"/>
    <w:rsid w:val="00483C33"/>
    <w:rsid w:val="004B2DBE"/>
    <w:rsid w:val="004B5697"/>
    <w:rsid w:val="004C657A"/>
    <w:rsid w:val="00527FC2"/>
    <w:rsid w:val="00531B2D"/>
    <w:rsid w:val="00564DC3"/>
    <w:rsid w:val="00571A19"/>
    <w:rsid w:val="005A3D96"/>
    <w:rsid w:val="005E05BC"/>
    <w:rsid w:val="005E3904"/>
    <w:rsid w:val="005F4F4B"/>
    <w:rsid w:val="00613221"/>
    <w:rsid w:val="00621681"/>
    <w:rsid w:val="00637CB6"/>
    <w:rsid w:val="006B0C42"/>
    <w:rsid w:val="006C01FE"/>
    <w:rsid w:val="006E1B8D"/>
    <w:rsid w:val="00710394"/>
    <w:rsid w:val="00712860"/>
    <w:rsid w:val="007414D1"/>
    <w:rsid w:val="00742C2A"/>
    <w:rsid w:val="00785360"/>
    <w:rsid w:val="00790220"/>
    <w:rsid w:val="007A0BFB"/>
    <w:rsid w:val="007B5FDB"/>
    <w:rsid w:val="007C1556"/>
    <w:rsid w:val="007E0BC3"/>
    <w:rsid w:val="007E218D"/>
    <w:rsid w:val="00801623"/>
    <w:rsid w:val="008041FB"/>
    <w:rsid w:val="008219CC"/>
    <w:rsid w:val="00825A91"/>
    <w:rsid w:val="00834398"/>
    <w:rsid w:val="00847A32"/>
    <w:rsid w:val="0085197F"/>
    <w:rsid w:val="00855B4A"/>
    <w:rsid w:val="008A7DF1"/>
    <w:rsid w:val="008D762F"/>
    <w:rsid w:val="00913573"/>
    <w:rsid w:val="009411EB"/>
    <w:rsid w:val="00942C1D"/>
    <w:rsid w:val="009A51CC"/>
    <w:rsid w:val="009A5266"/>
    <w:rsid w:val="009A6751"/>
    <w:rsid w:val="009E14DB"/>
    <w:rsid w:val="00A3174A"/>
    <w:rsid w:val="00A32B73"/>
    <w:rsid w:val="00A51C70"/>
    <w:rsid w:val="00A53A28"/>
    <w:rsid w:val="00A649E9"/>
    <w:rsid w:val="00A66A1F"/>
    <w:rsid w:val="00A92EFC"/>
    <w:rsid w:val="00AF7FCE"/>
    <w:rsid w:val="00B023BD"/>
    <w:rsid w:val="00B114F2"/>
    <w:rsid w:val="00B30856"/>
    <w:rsid w:val="00B35F3D"/>
    <w:rsid w:val="00B71E52"/>
    <w:rsid w:val="00B808AF"/>
    <w:rsid w:val="00BB444D"/>
    <w:rsid w:val="00BD120F"/>
    <w:rsid w:val="00C44614"/>
    <w:rsid w:val="00C52EDC"/>
    <w:rsid w:val="00C551BF"/>
    <w:rsid w:val="00D20AC5"/>
    <w:rsid w:val="00D233AD"/>
    <w:rsid w:val="00D25832"/>
    <w:rsid w:val="00D31972"/>
    <w:rsid w:val="00D602C8"/>
    <w:rsid w:val="00D65372"/>
    <w:rsid w:val="00DA44A8"/>
    <w:rsid w:val="00DA4881"/>
    <w:rsid w:val="00DA6361"/>
    <w:rsid w:val="00DB453A"/>
    <w:rsid w:val="00E500EB"/>
    <w:rsid w:val="00E601DE"/>
    <w:rsid w:val="00EA1EE5"/>
    <w:rsid w:val="00EA5A5C"/>
    <w:rsid w:val="00EC423E"/>
    <w:rsid w:val="00EC6C91"/>
    <w:rsid w:val="00EC6FFA"/>
    <w:rsid w:val="00F00195"/>
    <w:rsid w:val="00F010C1"/>
    <w:rsid w:val="00F0705E"/>
    <w:rsid w:val="00F24A0A"/>
    <w:rsid w:val="00F32FD6"/>
    <w:rsid w:val="00F44032"/>
    <w:rsid w:val="00F71B7D"/>
    <w:rsid w:val="00F7282D"/>
    <w:rsid w:val="00F92335"/>
    <w:rsid w:val="00F93E4E"/>
    <w:rsid w:val="00FC782C"/>
    <w:rsid w:val="00FC7A7E"/>
    <w:rsid w:val="04891622"/>
    <w:rsid w:val="065C4EFE"/>
    <w:rsid w:val="0AB02221"/>
    <w:rsid w:val="141824E9"/>
    <w:rsid w:val="19DC4AFA"/>
    <w:rsid w:val="31BE0075"/>
    <w:rsid w:val="43AB3FFC"/>
    <w:rsid w:val="550F5D1A"/>
    <w:rsid w:val="595147F0"/>
    <w:rsid w:val="6D00240A"/>
    <w:rsid w:val="782C2250"/>
    <w:rsid w:val="7A2E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ody Text"/>
    <w:basedOn w:val="1"/>
    <w:link w:val="11"/>
    <w:semiHidden/>
    <w:qFormat/>
    <w:uiPriority w:val="0"/>
    <w:rPr>
      <w:rFonts w:ascii="仿宋" w:hAnsi="仿宋" w:eastAsia="仿宋" w:cs="仿宋"/>
      <w:sz w:val="31"/>
      <w:szCs w:val="31"/>
    </w:rPr>
  </w:style>
  <w:style w:type="paragraph" w:styleId="4">
    <w:name w:val="Plain Text"/>
    <w:basedOn w:val="1"/>
    <w:link w:val="15"/>
    <w:qFormat/>
    <w:uiPriority w:val="0"/>
    <w:pPr>
      <w:widowControl w:val="0"/>
      <w:jc w:val="both"/>
    </w:pPr>
    <w:rPr>
      <w:rFonts w:ascii="宋体" w:hAnsi="Courier New" w:cs="Courier New"/>
    </w:rPr>
  </w:style>
  <w:style w:type="paragraph" w:styleId="5">
    <w:name w:val="Balloon Text"/>
    <w:basedOn w:val="1"/>
    <w:link w:val="14"/>
    <w:semiHidden/>
    <w:unhideWhenUsed/>
    <w:qFormat/>
    <w:uiPriority w:val="99"/>
    <w:rPr>
      <w:sz w:val="18"/>
      <w:szCs w:val="18"/>
    </w:rPr>
  </w:style>
  <w:style w:type="character" w:styleId="8">
    <w:name w:val="Hyperlink"/>
    <w:basedOn w:val="7"/>
    <w:semiHidden/>
    <w:unhideWhenUsed/>
    <w:qFormat/>
    <w:uiPriority w:val="99"/>
    <w:rPr>
      <w:color w:val="0000FF"/>
      <w:u w:val="single"/>
    </w:rPr>
  </w:style>
  <w:style w:type="character" w:styleId="9">
    <w:name w:val="annotation reference"/>
    <w:basedOn w:val="7"/>
    <w:semiHidden/>
    <w:unhideWhenUsed/>
    <w:uiPriority w:val="99"/>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正文文本 字符"/>
    <w:basedOn w:val="7"/>
    <w:link w:val="3"/>
    <w:semiHidden/>
    <w:qFormat/>
    <w:uiPriority w:val="0"/>
    <w:rPr>
      <w:rFonts w:ascii="仿宋" w:hAnsi="仿宋" w:eastAsia="仿宋" w:cs="仿宋"/>
      <w:sz w:val="31"/>
      <w:szCs w:val="31"/>
    </w:rPr>
  </w:style>
  <w:style w:type="paragraph" w:customStyle="1" w:styleId="12">
    <w:name w:val="列表段落1"/>
    <w:basedOn w:val="1"/>
    <w:qFormat/>
    <w:uiPriority w:val="0"/>
    <w:pPr>
      <w:widowControl w:val="0"/>
      <w:kinsoku/>
      <w:autoSpaceDE/>
      <w:autoSpaceDN/>
      <w:adjustRightInd/>
      <w:snapToGrid/>
      <w:ind w:firstLine="420" w:firstLineChars="200"/>
      <w:jc w:val="both"/>
      <w:textAlignment w:val="auto"/>
    </w:pPr>
    <w:rPr>
      <w:rFonts w:ascii="等线" w:hAnsi="等线" w:eastAsia="等线" w:cs="Times New Roman"/>
      <w:snapToGrid/>
      <w:color w:val="auto"/>
      <w:kern w:val="2"/>
      <w:lang w:eastAsia="zh-CN"/>
    </w:rPr>
  </w:style>
  <w:style w:type="paragraph" w:styleId="13">
    <w:name w:val="List Paragraph"/>
    <w:basedOn w:val="1"/>
    <w:qFormat/>
    <w:uiPriority w:val="34"/>
    <w:pPr>
      <w:widowControl w:val="0"/>
      <w:ind w:firstLine="420"/>
      <w:jc w:val="both"/>
    </w:pPr>
    <w:rPr>
      <w:rFonts w:asciiTheme="minorHAnsi" w:hAnsiTheme="minorHAnsi" w:cstheme="minorBidi"/>
      <w:kern w:val="2"/>
      <w:szCs w:val="22"/>
    </w:rPr>
  </w:style>
  <w:style w:type="character" w:customStyle="1" w:styleId="14">
    <w:name w:val="批注框文本 字符"/>
    <w:basedOn w:val="7"/>
    <w:link w:val="5"/>
    <w:semiHidden/>
    <w:qFormat/>
    <w:uiPriority w:val="99"/>
    <w:rPr>
      <w:snapToGrid w:val="0"/>
      <w:color w:val="000000"/>
      <w:sz w:val="18"/>
      <w:szCs w:val="18"/>
      <w:lang w:eastAsia="en-US"/>
    </w:rPr>
  </w:style>
  <w:style w:type="character" w:customStyle="1" w:styleId="15">
    <w:name w:val="纯文本 字符"/>
    <w:basedOn w:val="7"/>
    <w:link w:val="4"/>
    <w:qFormat/>
    <w:uiPriority w:val="0"/>
    <w:rPr>
      <w:rFonts w:ascii="宋体" w:hAnsi="Courier New" w:cs="Courier New"/>
      <w:snapToGrid w:val="0"/>
      <w:color w:val="000000"/>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5689</Words>
  <Characters>6009</Characters>
  <Lines>28</Lines>
  <Paragraphs>8</Paragraphs>
  <TotalTime>19</TotalTime>
  <ScaleCrop>false</ScaleCrop>
  <LinksUpToDate>false</LinksUpToDate>
  <CharactersWithSpaces>6026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2023-12-18T16:39:00Z</dcterms:created>
  <dc:creator>Long Li</dc:creator>
  <cp:lastModifiedBy>Elfinsword、</cp:lastModifiedBy>
  <cp:lastPrinted>2025-09-04T01:18:00Z</cp:lastPrinted>
  <dcterms:modified xsi:type="dcterms:W3CDTF">2025-10-16T14:34:01Z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2024-12-04T09:37:30Z</vt:filetime>
  </property>
  <property fmtid="{D5CDD505-2E9C-101B-9397-08002B2CF9AE}" pid="4" name="KSOTemplateDocerSaveRecord">
    <vt:lpwstr>eyJoZGlkIjoiNjU3NzY3ZDVhNmYxZDhkNDQ2NTlmZDhiM2QxMGFlODAiLCJ1c2VySWQiOiIzNTE1MjMxMzUifQ==</vt:lpwstr>
  </property>
  <property fmtid="{D5CDD505-2E9C-101B-9397-08002B2CF9AE}" pid="5" name="KSOProductBuildVer">
    <vt:lpwstr>2052-12.1.0.23125</vt:lpwstr>
  </property>
  <property fmtid="{D5CDD505-2E9C-101B-9397-08002B2CF9AE}" pid="6" name="ICV">
    <vt:lpwstr>345FF75C55434822BFDF6A8825B542C5_13</vt:lpwstr>
  </property>
</Properties>
</file>